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4C9C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3DD726BF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600EAE21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2A8B1621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1354B16B" w14:textId="26C9A511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Liite 1</w:t>
      </w:r>
    </w:p>
    <w:p w14:paraId="7BD22AAC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70F6960F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5C5216C1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2FCE3C79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1E188C96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6537D608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614B2E46" w14:textId="77777777" w:rsidR="002E3256" w:rsidRDefault="002E3256" w:rsidP="0011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51DEEEA7" w14:textId="648E5EB1" w:rsidR="00B942F0" w:rsidRDefault="004C1848" w:rsidP="001145DC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ptos" w:eastAsiaTheme="majorEastAsia" w:hAnsi="Aptos" w:cs="Segoe UI"/>
        </w:rPr>
        <w:t>DYNAAMISEN TOIMITTAJAREKISTERIN SISÄISEN KILPAILUTUKSEN </w:t>
      </w:r>
      <w:r w:rsidR="00D64DC9">
        <w:rPr>
          <w:rStyle w:val="normaltextrun"/>
          <w:rFonts w:ascii="Aptos" w:eastAsiaTheme="majorEastAsia" w:hAnsi="Aptos" w:cs="Segoe UI"/>
        </w:rPr>
        <w:t>HANKINTAMENETTELYN KUVAUS</w:t>
      </w:r>
      <w:r>
        <w:rPr>
          <w:rStyle w:val="normaltextrun"/>
          <w:rFonts w:ascii="Aptos" w:eastAsiaTheme="majorEastAsia" w:hAnsi="Aptos" w:cs="Segoe UI"/>
        </w:rPr>
        <w:t> 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591093088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18EBCD8" w14:textId="77777777" w:rsidR="003C2A21" w:rsidRDefault="003C2A21">
          <w:pPr>
            <w:pStyle w:val="Sisllysluettelonotsikk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US"/>
              <w14:ligatures w14:val="standardContextual"/>
            </w:rPr>
          </w:pPr>
        </w:p>
        <w:p w14:paraId="38E7FD8D" w14:textId="77777777" w:rsidR="00DB4295" w:rsidRDefault="00DB4295" w:rsidP="00DB4295"/>
        <w:p w14:paraId="34E935E7" w14:textId="77777777" w:rsidR="00DB4295" w:rsidRDefault="00DB4295" w:rsidP="00DB4295"/>
        <w:p w14:paraId="4A956D68" w14:textId="77777777" w:rsidR="00DB4295" w:rsidRDefault="00DB4295" w:rsidP="00DB4295"/>
        <w:p w14:paraId="5F431E81" w14:textId="77777777" w:rsidR="00DB4295" w:rsidRPr="00DB4295" w:rsidRDefault="00DB4295" w:rsidP="00DB4295"/>
        <w:p w14:paraId="3952F3BC" w14:textId="18F79768" w:rsidR="00163EC3" w:rsidRDefault="00163EC3">
          <w:pPr>
            <w:pStyle w:val="Sisllysluettelonotsikko"/>
          </w:pPr>
          <w:r>
            <w:t>Sisällys</w:t>
          </w:r>
        </w:p>
        <w:p w14:paraId="7A04B6D5" w14:textId="3D2FFA93" w:rsidR="00AB78EF" w:rsidRDefault="00163EC3">
          <w:pPr>
            <w:pStyle w:val="Sisluet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227139" w:history="1">
            <w:r w:rsidR="00AB78EF" w:rsidRPr="00F57DA1">
              <w:rPr>
                <w:rStyle w:val="Hyperlinkki"/>
                <w:noProof/>
              </w:rPr>
              <w:t>1.</w:t>
            </w:r>
            <w:r w:rsidR="00AB78EF">
              <w:rPr>
                <w:rFonts w:eastAsiaTheme="minorEastAsia"/>
                <w:noProof/>
                <w:lang w:eastAsia="fi-FI"/>
              </w:rPr>
              <w:tab/>
            </w:r>
            <w:r w:rsidR="00AB78EF" w:rsidRPr="00F57DA1">
              <w:rPr>
                <w:rStyle w:val="Hyperlinkki"/>
                <w:noProof/>
              </w:rPr>
              <w:t>Määritelmät</w:t>
            </w:r>
            <w:r w:rsidR="00AB78EF">
              <w:rPr>
                <w:noProof/>
                <w:webHidden/>
              </w:rPr>
              <w:tab/>
            </w:r>
            <w:r w:rsidR="00AB78EF">
              <w:rPr>
                <w:noProof/>
                <w:webHidden/>
              </w:rPr>
              <w:fldChar w:fldCharType="begin"/>
            </w:r>
            <w:r w:rsidR="00AB78EF">
              <w:rPr>
                <w:noProof/>
                <w:webHidden/>
              </w:rPr>
              <w:instrText xml:space="preserve"> PAGEREF _Toc227227139 \h </w:instrText>
            </w:r>
            <w:r w:rsidR="00AB78EF">
              <w:rPr>
                <w:noProof/>
                <w:webHidden/>
              </w:rPr>
            </w:r>
            <w:r w:rsidR="00AB78EF">
              <w:rPr>
                <w:noProof/>
                <w:webHidden/>
              </w:rPr>
              <w:fldChar w:fldCharType="separate"/>
            </w:r>
            <w:r w:rsidR="00AB78EF">
              <w:rPr>
                <w:noProof/>
                <w:webHidden/>
              </w:rPr>
              <w:t>2</w:t>
            </w:r>
            <w:r w:rsidR="00AB78EF">
              <w:rPr>
                <w:noProof/>
                <w:webHidden/>
              </w:rPr>
              <w:fldChar w:fldCharType="end"/>
            </w:r>
          </w:hyperlink>
        </w:p>
        <w:p w14:paraId="21E70803" w14:textId="1D180938" w:rsidR="00AB78EF" w:rsidRDefault="00AB78EF">
          <w:pPr>
            <w:pStyle w:val="Sisluet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27227140" w:history="1">
            <w:r w:rsidRPr="00F57DA1">
              <w:rPr>
                <w:rStyle w:val="Hyperlinkki"/>
                <w:noProof/>
              </w:rPr>
              <w:t>2.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F57DA1">
              <w:rPr>
                <w:rStyle w:val="Hyperlinkki"/>
                <w:noProof/>
              </w:rPr>
              <w:t>Hankintamenettelyn kuvaus ja tausta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B0DAB" w14:textId="640B1032" w:rsidR="00AB78EF" w:rsidRDefault="00AB78EF">
          <w:pPr>
            <w:pStyle w:val="Sisluet2"/>
            <w:tabs>
              <w:tab w:val="left" w:pos="96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27227141" w:history="1">
            <w:r w:rsidRPr="00F57DA1">
              <w:rPr>
                <w:rStyle w:val="Hyperlinkki"/>
                <w:noProof/>
              </w:rPr>
              <w:t>3.1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F57DA1">
              <w:rPr>
                <w:rStyle w:val="Hyperlinkki"/>
                <w:noProof/>
              </w:rPr>
              <w:t>Osallistumisvaihe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823E7" w14:textId="219296E9" w:rsidR="00AB78EF" w:rsidRDefault="00AB78EF">
          <w:pPr>
            <w:pStyle w:val="Sisluet2"/>
            <w:tabs>
              <w:tab w:val="left" w:pos="96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27227142" w:history="1">
            <w:r w:rsidRPr="00F57DA1">
              <w:rPr>
                <w:rStyle w:val="Hyperlinkki"/>
                <w:noProof/>
              </w:rPr>
              <w:t xml:space="preserve">3.2 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F57DA1">
              <w:rPr>
                <w:rStyle w:val="Hyperlinkki"/>
                <w:noProof/>
              </w:rPr>
              <w:t>Osallistumishakemus ja ehdokkaan hyväksyminen dynaamiseen toimittajarekisteriin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61308" w14:textId="106A6C1A" w:rsidR="00AB78EF" w:rsidRDefault="00AB78EF">
          <w:pPr>
            <w:pStyle w:val="Sisluet2"/>
            <w:tabs>
              <w:tab w:val="left" w:pos="96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27227143" w:history="1">
            <w:r w:rsidRPr="00F57DA1">
              <w:rPr>
                <w:rStyle w:val="Hyperlinkki"/>
                <w:noProof/>
              </w:rPr>
              <w:t>3.3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F57DA1">
              <w:rPr>
                <w:rStyle w:val="Hyperlinkki"/>
                <w:noProof/>
              </w:rPr>
              <w:t>Tarjousvaihe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50A00" w14:textId="729BD62D" w:rsidR="00AB78EF" w:rsidRDefault="00AB78EF">
          <w:pPr>
            <w:pStyle w:val="Sisluet2"/>
            <w:tabs>
              <w:tab w:val="left" w:pos="96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27227144" w:history="1">
            <w:r w:rsidRPr="00F57DA1">
              <w:rPr>
                <w:rStyle w:val="Hyperlinkki"/>
                <w:noProof/>
              </w:rPr>
              <w:t>3.5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F57DA1">
              <w:rPr>
                <w:rStyle w:val="Hyperlinkki"/>
                <w:noProof/>
              </w:rPr>
              <w:t>Sopimukset ja niiden voimassaolo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_Toc227227144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71A6" w14:textId="1131921D" w:rsidR="00AB78EF" w:rsidRDefault="00AB78EF">
          <w:pPr>
            <w:pStyle w:val="Sisluet2"/>
            <w:tabs>
              <w:tab w:val="left" w:pos="96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227227145" w:history="1">
            <w:r w:rsidRPr="00F57DA1">
              <w:rPr>
                <w:rStyle w:val="Hyperlinkki"/>
                <w:noProof/>
              </w:rPr>
              <w:t>3.6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F57DA1">
              <w:rPr>
                <w:rStyle w:val="Hyperlinkki"/>
                <w:noProof/>
              </w:rPr>
              <w:t>Muutokset sopimukseen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_Toc227227145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D4A5D" w14:textId="61ADCA5D" w:rsidR="00163EC3" w:rsidRDefault="00163EC3">
          <w:r>
            <w:rPr>
              <w:b/>
              <w:bCs/>
            </w:rPr>
            <w:fldChar w:fldCharType="end"/>
          </w:r>
        </w:p>
      </w:sdtContent>
    </w:sdt>
    <w:p w14:paraId="2FDAF49D" w14:textId="77777777" w:rsidR="00E560C3" w:rsidRDefault="00E560C3" w:rsidP="00B942F0"/>
    <w:p w14:paraId="3C536820" w14:textId="77777777" w:rsidR="00B942F0" w:rsidRDefault="00B942F0" w:rsidP="00B942F0"/>
    <w:p w14:paraId="0F528358" w14:textId="4EDF086C" w:rsidR="00B942F0" w:rsidRDefault="00B942F0" w:rsidP="00B942F0"/>
    <w:p w14:paraId="6B858648" w14:textId="77777777" w:rsidR="00B942F0" w:rsidRDefault="00B942F0" w:rsidP="00B942F0"/>
    <w:p w14:paraId="7C7D64A6" w14:textId="77777777" w:rsidR="00B942F0" w:rsidRDefault="00B942F0" w:rsidP="00B942F0"/>
    <w:p w14:paraId="44C17E84" w14:textId="77777777" w:rsidR="00D64D82" w:rsidRDefault="00D64D82" w:rsidP="00B942F0"/>
    <w:p w14:paraId="2300A966" w14:textId="77777777" w:rsidR="00D64D82" w:rsidRDefault="00D64D82" w:rsidP="00B942F0"/>
    <w:p w14:paraId="718B351B" w14:textId="4E1F54AF" w:rsidR="00B942F0" w:rsidRDefault="00B942F0" w:rsidP="00D64D82">
      <w:pPr>
        <w:pStyle w:val="Otsikko1"/>
      </w:pPr>
      <w:bookmarkStart w:id="0" w:name="_Toc227227139"/>
      <w:r>
        <w:t>1.</w:t>
      </w:r>
      <w:r>
        <w:tab/>
        <w:t>Määritelmät</w:t>
      </w:r>
      <w:bookmarkEnd w:id="0"/>
    </w:p>
    <w:p w14:paraId="04812FF1" w14:textId="77777777" w:rsidR="00B942F0" w:rsidRDefault="00B942F0" w:rsidP="00B942F0"/>
    <w:p w14:paraId="279ADBCF" w14:textId="77777777" w:rsidR="00597420" w:rsidRDefault="00597420" w:rsidP="00597420">
      <w:r>
        <w:rPr>
          <w:b/>
          <w:bCs/>
        </w:rPr>
        <w:t>Dynaaminen toimittajarekisteri:</w:t>
      </w:r>
      <w:r w:rsidRPr="00501AFF">
        <w:rPr>
          <w:b/>
          <w:bCs/>
        </w:rPr>
        <w:t xml:space="preserve"> </w:t>
      </w:r>
      <w:r>
        <w:t>Tarkoitetaan tässä kuvattua hankintamenettelyä</w:t>
      </w:r>
    </w:p>
    <w:p w14:paraId="4E5CB408" w14:textId="723AE26E" w:rsidR="002D4267" w:rsidRPr="002D4267" w:rsidRDefault="002D4267" w:rsidP="00B942F0">
      <w:r w:rsidRPr="00223AE4">
        <w:rPr>
          <w:b/>
          <w:bCs/>
        </w:rPr>
        <w:t>Ehdokas:</w:t>
      </w:r>
      <w:r>
        <w:t xml:space="preserve"> Ehdokkaalla tarkoitetaan tässä kuvauksessa osallistumishakemuksen jättänyttä toimijaa.</w:t>
      </w:r>
    </w:p>
    <w:p w14:paraId="6E5B2778" w14:textId="77777777" w:rsidR="007B7973" w:rsidRDefault="007B7973" w:rsidP="007B7973">
      <w:r w:rsidRPr="00501AFF">
        <w:rPr>
          <w:b/>
          <w:bCs/>
        </w:rPr>
        <w:t>Hankintalaki</w:t>
      </w:r>
      <w:r>
        <w:rPr>
          <w:b/>
          <w:bCs/>
        </w:rPr>
        <w:t>:</w:t>
      </w:r>
      <w:r>
        <w:t xml:space="preserve"> Tarkoitetaan Lakia julkisista hankinnoista ja käyttöoikeussopimuksista (1397/2016).</w:t>
      </w:r>
    </w:p>
    <w:p w14:paraId="6B18F003" w14:textId="40C48630" w:rsidR="00B942F0" w:rsidRDefault="00B942F0" w:rsidP="00B942F0">
      <w:r w:rsidRPr="00F25C58">
        <w:rPr>
          <w:b/>
          <w:bCs/>
        </w:rPr>
        <w:t>Hankintayksikkö</w:t>
      </w:r>
      <w:r w:rsidR="00F25C58">
        <w:t>:</w:t>
      </w:r>
      <w:r>
        <w:t xml:space="preserve"> Hankintayksiköllä tarkoitetaan tässä kuvauksessa</w:t>
      </w:r>
      <w:r w:rsidRPr="006E6A18">
        <w:rPr>
          <w:color w:val="C00000"/>
        </w:rPr>
        <w:t xml:space="preserve"> </w:t>
      </w:r>
      <w:r w:rsidR="006E6A18" w:rsidRPr="00F42B6E">
        <w:rPr>
          <w:color w:val="FF0000"/>
        </w:rPr>
        <w:t>XX</w:t>
      </w:r>
      <w:r w:rsidR="006E6A18" w:rsidRPr="006E6A18">
        <w:rPr>
          <w:color w:val="C00000"/>
        </w:rPr>
        <w:t xml:space="preserve"> </w:t>
      </w:r>
      <w:r>
        <w:t>hyvinvointialuetta.</w:t>
      </w:r>
    </w:p>
    <w:p w14:paraId="7CF3F006" w14:textId="670415AA" w:rsidR="00B942F0" w:rsidRDefault="00B942F0" w:rsidP="00B942F0">
      <w:r w:rsidRPr="00F25C58">
        <w:rPr>
          <w:b/>
          <w:bCs/>
        </w:rPr>
        <w:t>Kohderyhmä</w:t>
      </w:r>
      <w:r w:rsidR="00F25C58" w:rsidRPr="00F25C58">
        <w:rPr>
          <w:b/>
          <w:bCs/>
        </w:rPr>
        <w:t>:</w:t>
      </w:r>
      <w:r w:rsidR="00F25C58">
        <w:t xml:space="preserve"> </w:t>
      </w:r>
      <w:r>
        <w:t>Kohderyhmällä tarkoitetaan Tarjouspyynnön sisältämiä ammattinimikkeitä tai hankinnan kohdetta, joita tarjoaja voi tarjota. Kohderyhmä voi olla esimerkiksi ammattinimike tai maantieteellinen alue.</w:t>
      </w:r>
    </w:p>
    <w:p w14:paraId="40D8B862" w14:textId="3F21F5BA" w:rsidR="00B942F0" w:rsidRDefault="00B942F0" w:rsidP="00B942F0">
      <w:r w:rsidRPr="00223AE4">
        <w:rPr>
          <w:b/>
          <w:bCs/>
        </w:rPr>
        <w:t>Osallistumishakemus</w:t>
      </w:r>
      <w:r w:rsidR="00223AE4" w:rsidRPr="00223AE4">
        <w:rPr>
          <w:b/>
          <w:bCs/>
        </w:rPr>
        <w:t>:</w:t>
      </w:r>
      <w:r w:rsidR="00223AE4">
        <w:t xml:space="preserve"> </w:t>
      </w:r>
      <w:r>
        <w:t xml:space="preserve">Osallistumishakemuksella tarkoitetaan tässä kuvauksessa osallistumispyynnön mukaista hakemusta </w:t>
      </w:r>
      <w:r w:rsidR="00192C1D">
        <w:t>dynaamiseen toimittajarekisteriin</w:t>
      </w:r>
      <w:r>
        <w:t>.</w:t>
      </w:r>
    </w:p>
    <w:p w14:paraId="1A4F0C08" w14:textId="77777777" w:rsidR="00A274A0" w:rsidRDefault="00A274A0" w:rsidP="00A274A0">
      <w:r w:rsidRPr="00F25C58">
        <w:rPr>
          <w:b/>
          <w:bCs/>
        </w:rPr>
        <w:t>Osallistumispyyntö:</w:t>
      </w:r>
      <w:r>
        <w:t xml:space="preserve"> Osallistumispyynnöllä tarkoitetaan tässä kuvauksessa Hankintayksikön Hankintailmoitukset.fi-sivustolla julkaistavaa hankintailmoitusta ja Tarjouspalvelu.fi-portaalissa avautuvaa pyyntöä osallistua hankintajärjestelmään. Pyyntöön vastataan jättämällä osallistumishakemus.</w:t>
      </w:r>
    </w:p>
    <w:p w14:paraId="1EE32117" w14:textId="77777777" w:rsidR="007B7973" w:rsidRDefault="007B7973" w:rsidP="007B7973">
      <w:r w:rsidRPr="003760D2">
        <w:rPr>
          <w:b/>
          <w:bCs/>
        </w:rPr>
        <w:t>Sisäinen kilpailutus:</w:t>
      </w:r>
      <w:r>
        <w:t xml:space="preserve"> Sisäisellä kilpailutuksella tarkoitetaan tässä kuvauksessa dynaamisen toimittajarekisterin hankintavaiheessa toteutettavaa hankintamenettelyä hankintasopimuksen palveluntuottajan valitsemiseksi.</w:t>
      </w:r>
    </w:p>
    <w:p w14:paraId="3CF0982A" w14:textId="74D0C9D4" w:rsidR="00B942F0" w:rsidRDefault="00B942F0" w:rsidP="00B942F0">
      <w:r w:rsidRPr="00BE5998">
        <w:rPr>
          <w:b/>
          <w:bCs/>
        </w:rPr>
        <w:t>Tarjoaja</w:t>
      </w:r>
      <w:r w:rsidR="00BE5998" w:rsidRPr="00BE5998">
        <w:rPr>
          <w:b/>
          <w:bCs/>
        </w:rPr>
        <w:t>:</w:t>
      </w:r>
      <w:r>
        <w:t xml:space="preserve"> Tarjoajalla tarkoitetaan tässä kuvauksessa </w:t>
      </w:r>
      <w:r w:rsidR="00192C1D">
        <w:t>dynaamiseen toimittajarekisteriin</w:t>
      </w:r>
      <w:r>
        <w:t xml:space="preserve"> hyväksyttyä ehdokasta, joka voi jättää tarjouksen </w:t>
      </w:r>
      <w:r w:rsidR="008A0675">
        <w:t>sisäisessä kilpailutuksessa</w:t>
      </w:r>
      <w:r>
        <w:t xml:space="preserve"> julkaistun tarjouspyynnön perusteella.</w:t>
      </w:r>
    </w:p>
    <w:p w14:paraId="750A44E4" w14:textId="6AD0343A" w:rsidR="00B942F0" w:rsidRDefault="00B942F0" w:rsidP="00B942F0">
      <w:r w:rsidRPr="00BE5998">
        <w:rPr>
          <w:b/>
          <w:bCs/>
        </w:rPr>
        <w:t>Tarjous</w:t>
      </w:r>
      <w:r w:rsidR="00BE5998" w:rsidRPr="00BE5998">
        <w:rPr>
          <w:b/>
          <w:bCs/>
        </w:rPr>
        <w:t>:</w:t>
      </w:r>
      <w:r>
        <w:t xml:space="preserve"> Tarjoajan jättämä tarjous hankintajärjestelmän sisäiseen tarjouspyyntöön.</w:t>
      </w:r>
    </w:p>
    <w:p w14:paraId="2601E387" w14:textId="08DBBFBB" w:rsidR="00B942F0" w:rsidDel="00573839" w:rsidRDefault="00B942F0" w:rsidP="00B942F0">
      <w:r w:rsidRPr="002713D2" w:rsidDel="00573839">
        <w:rPr>
          <w:b/>
          <w:bCs/>
        </w:rPr>
        <w:t>Tarjouspyyntö</w:t>
      </w:r>
      <w:r w:rsidR="002713D2" w:rsidDel="00573839">
        <w:rPr>
          <w:b/>
          <w:bCs/>
        </w:rPr>
        <w:t>:</w:t>
      </w:r>
      <w:r w:rsidDel="00573839">
        <w:t xml:space="preserve"> Tarjouspyynnöllä tarkoitetaan tässä kuvauksessa </w:t>
      </w:r>
      <w:r w:rsidR="00E52593" w:rsidDel="00573839">
        <w:t>kilpailutusjärjestelmässä</w:t>
      </w:r>
      <w:r w:rsidDel="00573839">
        <w:t xml:space="preserve"> avautuvaa pyyntöä osallistua </w:t>
      </w:r>
      <w:r w:rsidR="00CE7AE9">
        <w:t>dynaamisen toimittajarekisterin</w:t>
      </w:r>
      <w:r w:rsidDel="00573839">
        <w:t xml:space="preserve"> sisäiseen kilpailutukseen. Pyyntöön vastataan jättämällä </w:t>
      </w:r>
      <w:r w:rsidRPr="00E4550A" w:rsidDel="00573839">
        <w:rPr>
          <w:color w:val="000000" w:themeColor="text1"/>
        </w:rPr>
        <w:t>tarjous. Tarjouspyyntö toimitetaan vain osallistumishakemuksen jättäneille, menettelyyn hyväksytyille tarjoajille.</w:t>
      </w:r>
    </w:p>
    <w:p w14:paraId="7E25B3B6" w14:textId="77777777" w:rsidR="00D37668" w:rsidRDefault="00D37668" w:rsidP="00D37668">
      <w:r w:rsidRPr="00F25C58">
        <w:rPr>
          <w:b/>
          <w:bCs/>
        </w:rPr>
        <w:t>Tilaaja:</w:t>
      </w:r>
      <w:r>
        <w:t xml:space="preserve"> Tilaajalla tarkoitetaan </w:t>
      </w:r>
      <w:r w:rsidRPr="00F42B6E">
        <w:rPr>
          <w:color w:val="FF0000"/>
        </w:rPr>
        <w:t>XX</w:t>
      </w:r>
      <w:r w:rsidRPr="003C41E3">
        <w:rPr>
          <w:color w:val="C00000"/>
        </w:rPr>
        <w:t xml:space="preserve"> </w:t>
      </w:r>
      <w:r>
        <w:t>hyvinvointialuetta, joka tilaa hankinnan kohteena olevaa vuokrahenkilöstöä. Tilaaja määrittelee vuokrattavaa henkilöstöä koskevat erityistarpeet.</w:t>
      </w:r>
    </w:p>
    <w:p w14:paraId="76714376" w14:textId="7B64560E" w:rsidR="00B942F0" w:rsidRDefault="00B942F0" w:rsidP="00B942F0">
      <w:r w:rsidRPr="00392208">
        <w:rPr>
          <w:b/>
          <w:bCs/>
        </w:rPr>
        <w:t>Toimipiste</w:t>
      </w:r>
      <w:r w:rsidR="00392208" w:rsidRPr="00392208">
        <w:rPr>
          <w:b/>
          <w:bCs/>
        </w:rPr>
        <w:t>:</w:t>
      </w:r>
      <w:r>
        <w:t xml:space="preserve"> Toimipisteellä tarkoitetaan tässä kuvauksessa Tilaajan toimialueen toimipistettä.</w:t>
      </w:r>
    </w:p>
    <w:p w14:paraId="4BB4E82E" w14:textId="66B324CE" w:rsidR="00B942F0" w:rsidRDefault="00392208" w:rsidP="00B942F0">
      <w:r w:rsidRPr="00392208">
        <w:rPr>
          <w:b/>
          <w:bCs/>
        </w:rPr>
        <w:lastRenderedPageBreak/>
        <w:t>T</w:t>
      </w:r>
      <w:r w:rsidR="00311AAC">
        <w:rPr>
          <w:b/>
          <w:bCs/>
        </w:rPr>
        <w:t>oimittaja</w:t>
      </w:r>
      <w:r w:rsidRPr="00392208">
        <w:rPr>
          <w:b/>
          <w:bCs/>
        </w:rPr>
        <w:t>:</w:t>
      </w:r>
      <w:r w:rsidR="00311AAC">
        <w:t xml:space="preserve"> </w:t>
      </w:r>
      <w:r w:rsidR="00B942F0">
        <w:t xml:space="preserve">Tarjoaja, joka jättää osallistumishakemuksen/tarjouksen ja/tai tulee valituksi toimittamaan vuokrahenkilöstöä tilaajalle. </w:t>
      </w:r>
      <w:r w:rsidR="00103FFE">
        <w:t>T</w:t>
      </w:r>
      <w:r w:rsidR="0003788A">
        <w:t>oimittajalla</w:t>
      </w:r>
      <w:r w:rsidR="00B942F0">
        <w:t xml:space="preserve"> ei </w:t>
      </w:r>
      <w:r w:rsidR="002742C7">
        <w:t xml:space="preserve">tarvitse olla </w:t>
      </w:r>
      <w:r w:rsidR="006300D5">
        <w:t>Lupa- ja valvontavira</w:t>
      </w:r>
      <w:r w:rsidR="008A2700">
        <w:t>ston</w:t>
      </w:r>
      <w:r w:rsidR="00A67DB5">
        <w:t xml:space="preserve"> lupaa tuottaa palvelua. </w:t>
      </w:r>
    </w:p>
    <w:p w14:paraId="763C0918" w14:textId="3834D347" w:rsidR="00B942F0" w:rsidRDefault="00BA36EA" w:rsidP="00B942F0">
      <w:r>
        <w:t>T</w:t>
      </w:r>
      <w:r w:rsidR="00501AFF">
        <w:t>oimittajalla</w:t>
      </w:r>
      <w:r w:rsidR="00B942F0">
        <w:t xml:space="preserve"> tarkoitetaan tässä kuvauksessa myös tarjoajaa, jonka kanssa Hankintayksikkö on solminut hankintasopimuksen jostain hankinnan kohteena olevasta kohderyhmästä.</w:t>
      </w:r>
    </w:p>
    <w:p w14:paraId="7CD12B52" w14:textId="77777777" w:rsidR="00B942F0" w:rsidRDefault="00B942F0" w:rsidP="00B942F0"/>
    <w:p w14:paraId="346EDE66" w14:textId="79D2CE0E" w:rsidR="00B942F0" w:rsidRDefault="00B942F0" w:rsidP="00AC78D0">
      <w:pPr>
        <w:pStyle w:val="Otsikko1"/>
      </w:pPr>
      <w:bookmarkStart w:id="1" w:name="_Toc227227140"/>
      <w:r>
        <w:t>2.</w:t>
      </w:r>
      <w:r>
        <w:tab/>
        <w:t>Hankintamenettelyn kuvaus ja tausta</w:t>
      </w:r>
      <w:bookmarkEnd w:id="1"/>
    </w:p>
    <w:p w14:paraId="1C56D14A" w14:textId="63604A35" w:rsidR="00B942F0" w:rsidRDefault="00B942F0" w:rsidP="00B942F0">
      <w:r>
        <w:t>Hankintamenettelyn tavoitteena on saada täytettyä</w:t>
      </w:r>
      <w:r w:rsidR="004927B8">
        <w:t xml:space="preserve"> henkilöstön</w:t>
      </w:r>
      <w:r>
        <w:t xml:space="preserve"> sijaistarpeita joustavasti hyvinvointialueen ehdoilla </w:t>
      </w:r>
      <w:r w:rsidR="0010507F">
        <w:t>siten,</w:t>
      </w:r>
      <w:r>
        <w:t xml:space="preserve"> että hyvinvointialue pysyy myös houkuttelevana työnantajana henkilöstölle.</w:t>
      </w:r>
    </w:p>
    <w:p w14:paraId="49A7BC61" w14:textId="77777777" w:rsidR="00B942F0" w:rsidRDefault="00B942F0" w:rsidP="00B942F0">
      <w:r>
        <w:t>Päämääränä on ketterä monituottajamalli. Uusien hankintajärjestelmässä kilpailutettujen sopimusten ansiosta henkilöstövuokrauksen koordinoiminen on helpompaa ja kustannustehokasta.</w:t>
      </w:r>
    </w:p>
    <w:p w14:paraId="42F2AD6E" w14:textId="6D91B721" w:rsidR="00B942F0" w:rsidRDefault="00B942F0" w:rsidP="00B942F0">
      <w:r w:rsidRPr="005A74E4">
        <w:t xml:space="preserve">Kyseessä on sähköisesti toteutettava hankintamenettely, joka on suunniteltu hankintalain luvun 12 mukaisiin hankintoihin. Kyseessä on hankintalain periaatteiden mukainen </w:t>
      </w:r>
      <w:r w:rsidR="008258E2" w:rsidRPr="005A74E4">
        <w:t>dynaaminen toimittajarekisteri</w:t>
      </w:r>
      <w:r w:rsidRPr="005A74E4">
        <w:t xml:space="preserve">, jossa on kaksi vaihetta (osallistumisvaihe ja tarjousvaihe). Vaiheet ja </w:t>
      </w:r>
      <w:r w:rsidR="00631740" w:rsidRPr="005A74E4">
        <w:t>dynaamisen toimittajarekisterin</w:t>
      </w:r>
      <w:r w:rsidRPr="005A74E4">
        <w:t xml:space="preserve"> sisäiset kilpailutukset on kuvattu tässä liitteessä. </w:t>
      </w:r>
      <w:r w:rsidR="00631740" w:rsidRPr="005A74E4">
        <w:t>Dynaaminen toimittajarekisteri</w:t>
      </w:r>
      <w:r w:rsidR="00D917D2" w:rsidRPr="005A74E4">
        <w:t xml:space="preserve"> on</w:t>
      </w:r>
      <w:r w:rsidRPr="005A74E4">
        <w:t xml:space="preserve"> voimassa osallistumispyynnö</w:t>
      </w:r>
      <w:r w:rsidR="00822494" w:rsidRPr="005A74E4">
        <w:t>n</w:t>
      </w:r>
      <w:r w:rsidRPr="005A74E4">
        <w:t xml:space="preserve"> ja tä</w:t>
      </w:r>
      <w:r w:rsidR="00822494" w:rsidRPr="005A74E4">
        <w:t>män</w:t>
      </w:r>
      <w:r w:rsidRPr="005A74E4">
        <w:t xml:space="preserve"> kuvaukse</w:t>
      </w:r>
      <w:r w:rsidR="00822494" w:rsidRPr="005A74E4">
        <w:t>n mukaisesti</w:t>
      </w:r>
      <w:r w:rsidRPr="005A74E4">
        <w:t xml:space="preserve">. Hankintayksikkö vastaa </w:t>
      </w:r>
      <w:r w:rsidR="001F1092" w:rsidRPr="005A74E4">
        <w:t>dynaamisen toimittajarekisterin</w:t>
      </w:r>
      <w:r w:rsidRPr="005A74E4">
        <w:t xml:space="preserve"> perustamisesta ja ylläpitämisestä</w:t>
      </w:r>
      <w:r>
        <w:t>.</w:t>
      </w:r>
    </w:p>
    <w:p w14:paraId="5C8117C1" w14:textId="10C2A569" w:rsidR="00B43709" w:rsidRDefault="00801922" w:rsidP="00B942F0">
      <w:r>
        <w:t xml:space="preserve">Hankintayksikkö käynnistää hankintamenettelyn julkaisemalla </w:t>
      </w:r>
      <w:r w:rsidR="00B942F0">
        <w:t xml:space="preserve">hankinnasta osallistumispyynnön, joka on avoinna </w:t>
      </w:r>
      <w:r w:rsidR="00B942F0" w:rsidRPr="00C51204">
        <w:t>kaikille</w:t>
      </w:r>
      <w:r w:rsidR="004F6D8E" w:rsidRPr="00C51204">
        <w:t xml:space="preserve"> </w:t>
      </w:r>
      <w:r w:rsidR="00C51204" w:rsidRPr="00C51204">
        <w:t>minimi</w:t>
      </w:r>
      <w:r w:rsidR="004F6D8E" w:rsidRPr="00C51204">
        <w:t>vaatimukset täyttäville</w:t>
      </w:r>
      <w:r w:rsidR="00B942F0" w:rsidRPr="00C51204">
        <w:t xml:space="preserve"> ehdokkaille </w:t>
      </w:r>
      <w:r w:rsidR="006A3621">
        <w:t>dynaamisen toimittajarekisterin</w:t>
      </w:r>
      <w:r w:rsidR="00B942F0">
        <w:t xml:space="preserve"> keston ajan. </w:t>
      </w:r>
      <w:r w:rsidR="006A3621">
        <w:t>Dynaamisen toimittajarekisterin</w:t>
      </w:r>
      <w:r w:rsidR="00B942F0">
        <w:t xml:space="preserve"> päättymisestä julkaistaan jälki- ilmoitus hankintailmoitukset.fi-sivustolla. </w:t>
      </w:r>
    </w:p>
    <w:p w14:paraId="72F426C8" w14:textId="0097C688" w:rsidR="00B942F0" w:rsidRDefault="00B942F0" w:rsidP="00B942F0">
      <w:r>
        <w:t xml:space="preserve">Lähtökohtaisesti </w:t>
      </w:r>
      <w:r w:rsidR="00B43709" w:rsidRPr="00524561">
        <w:t xml:space="preserve">dynaaminen toimittajarekisteri </w:t>
      </w:r>
      <w:r w:rsidRPr="00524561">
        <w:t xml:space="preserve">on avoinna osallistumispyynnössä kuvatun ajanjakson. Jos </w:t>
      </w:r>
      <w:r w:rsidR="0038311D" w:rsidRPr="00524561">
        <w:t>dynaami</w:t>
      </w:r>
      <w:r w:rsidR="00F874AF" w:rsidRPr="00524561">
        <w:t>s</w:t>
      </w:r>
      <w:r w:rsidR="0038311D" w:rsidRPr="00524561">
        <w:t xml:space="preserve">en toimittajarekisterin </w:t>
      </w:r>
      <w:r w:rsidRPr="00524561">
        <w:t>kestoa ja/tai hankintavaiheen kestoa muutetaan, hankintayksikkö julkaisee uuden tai korjatun hankintailmoituksen. Dynaami</w:t>
      </w:r>
      <w:r w:rsidR="0035598E" w:rsidRPr="00524561">
        <w:t>n</w:t>
      </w:r>
      <w:r w:rsidRPr="00524561">
        <w:t xml:space="preserve">en </w:t>
      </w:r>
      <w:r w:rsidR="0035598E" w:rsidRPr="00524561">
        <w:t>toimittajarekisteri</w:t>
      </w:r>
      <w:r w:rsidRPr="00524561">
        <w:t xml:space="preserve"> toteutetaan sähköisesti hyödyntäen </w:t>
      </w:r>
      <w:r w:rsidR="00CB128C" w:rsidRPr="00524561">
        <w:t xml:space="preserve">sähköistä </w:t>
      </w:r>
      <w:r w:rsidR="004A0379" w:rsidRPr="00524561">
        <w:t xml:space="preserve">järjestelmää, kuten </w:t>
      </w:r>
      <w:r w:rsidRPr="00524561">
        <w:t xml:space="preserve">Tarjouspalvelu.fi- toimittajaportaalia, jossa jätetään osallistumishakemukset </w:t>
      </w:r>
      <w:r>
        <w:t>ja tarjoukset.</w:t>
      </w:r>
    </w:p>
    <w:p w14:paraId="1B80ADFC" w14:textId="43AD09CD" w:rsidR="00B942F0" w:rsidRPr="00DC4DB1" w:rsidRDefault="00A762C4" w:rsidP="00DC4DB1">
      <w:pPr>
        <w:pStyle w:val="pf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762A9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Dynaamisen toimittajarekisterin sisäisissä kilpailutuksissa julkaistaan tarjouspyyntö ja palvelunkuvaus, jossa on asetettu hankittavaa vuokrahenkilöstöä koskevat vähimmäisvaatimukset</w:t>
      </w:r>
      <w:r w:rsidR="00364C3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  <w:r w:rsidR="00DC4DB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1428F1" w:rsidRPr="00364C3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Sisäiset kilpailutukset on</w:t>
      </w:r>
      <w:r w:rsidR="00B942F0" w:rsidRPr="00364C3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tarkoitus jakaa osiin nimikekohtaisest</w:t>
      </w:r>
      <w:r w:rsidR="00364C30" w:rsidRPr="00364C3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i.</w:t>
      </w:r>
    </w:p>
    <w:p w14:paraId="203F08D3" w14:textId="68EE2B77" w:rsidR="00B942F0" w:rsidRPr="003919D4" w:rsidRDefault="002D7B81" w:rsidP="00B942F0">
      <w:pPr>
        <w:rPr>
          <w:color w:val="4EA72E" w:themeColor="accent6"/>
        </w:rPr>
      </w:pPr>
      <w:r>
        <w:t>Dynaamisen toimittajarekisterin</w:t>
      </w:r>
      <w:r w:rsidR="00B942F0">
        <w:t xml:space="preserve"> tavoitteena on toteuttaa hankinta siten, että </w:t>
      </w:r>
      <w:r w:rsidR="00863C86">
        <w:t>se</w:t>
      </w:r>
      <w:r w:rsidR="00B942F0">
        <w:t xml:space="preserve"> ei sulje markkinoita hankintasopimusten keston ajaksi hankinnan kohteena olevien palvelujen osalta. </w:t>
      </w:r>
      <w:r w:rsidR="00B942F0">
        <w:lastRenderedPageBreak/>
        <w:t>Menettelyllä pyritään myös huomioimaan tilaajan tarpeissa mahdollisesti tapahtuvat muutokset</w:t>
      </w:r>
      <w:r w:rsidR="00B942F0" w:rsidRPr="003919D4">
        <w:rPr>
          <w:color w:val="4EA72E" w:themeColor="accent6"/>
        </w:rPr>
        <w:t xml:space="preserve">. </w:t>
      </w:r>
    </w:p>
    <w:p w14:paraId="2D423CE7" w14:textId="7A889DC6" w:rsidR="00B942F0" w:rsidRDefault="00B942F0" w:rsidP="00B942F0">
      <w:r>
        <w:t xml:space="preserve">Hankintayksiköllä on oikeus julkaista </w:t>
      </w:r>
      <w:r w:rsidR="00EC7F25" w:rsidRPr="00EC7F25">
        <w:t>dynaamisen toimittajarekisterin</w:t>
      </w:r>
      <w:r w:rsidRPr="00EC7F25">
        <w:t xml:space="preserve">keston aikana </w:t>
      </w:r>
      <w:r w:rsidR="00EC7F25" w:rsidRPr="00292959">
        <w:t>dynaamiseen toimittajarekisteriin</w:t>
      </w:r>
      <w:r>
        <w:t xml:space="preserve"> hyväksytyille tarjoajille erillisiä ammattinimike, toimipiste-, tai aluekohtaisia tarjouspyyntöjä. Tarjouspyynnössä hankintayksiköllä on oikeus rajata ja tarkentaa hankinnan kohdetta. </w:t>
      </w:r>
      <w:r w:rsidR="00C123D1">
        <w:t>Sisäisten k</w:t>
      </w:r>
      <w:r>
        <w:t>ilpailutusten tarjouspyyntöjä ei sidota mihinkään tiettyyn tarjouspyynnön julkaisusykliin.</w:t>
      </w:r>
    </w:p>
    <w:p w14:paraId="612730E0" w14:textId="77777777" w:rsidR="00B942F0" w:rsidRDefault="00B942F0" w:rsidP="00B942F0">
      <w:r>
        <w:t>Tilaaja ei sitoudu tiettyihin hankintamääriin. Tilaaja voi tarvittaessa päivittää arvioituja tarpeita julkaisemalla osallistumispyynnöstä uuden hankintailmoituksen.</w:t>
      </w:r>
    </w:p>
    <w:p w14:paraId="651CBDBF" w14:textId="6863084E" w:rsidR="00B942F0" w:rsidRPr="00BA68AF" w:rsidRDefault="00B942F0" w:rsidP="00B942F0">
      <w:r w:rsidRPr="00BA68AF">
        <w:t>Tarjouksen valintaan sovelletaan, mitä hankintalain 115 §:ssä säädetään</w:t>
      </w:r>
      <w:r w:rsidRPr="00442DDC">
        <w:t xml:space="preserve">. </w:t>
      </w:r>
      <w:r w:rsidR="003437CD" w:rsidRPr="00442DDC">
        <w:t xml:space="preserve">Dynaamisen toimittajarekisterin </w:t>
      </w:r>
      <w:r w:rsidR="003437CD" w:rsidRPr="00BA68AF">
        <w:t>si</w:t>
      </w:r>
      <w:r w:rsidRPr="00BA68AF">
        <w:t>sällä tehdyn hankinnan kokonaistaloudellisen edullisuuden perusteet määritellään tarkemmin hankintaa koskevassa tarjouspyynnössä.</w:t>
      </w:r>
    </w:p>
    <w:p w14:paraId="1AA82B4B" w14:textId="049D8714" w:rsidR="00B942F0" w:rsidRPr="007061C9" w:rsidRDefault="00AE0A5D" w:rsidP="00B942F0">
      <w:r w:rsidRPr="00442DDC">
        <w:t>Dy</w:t>
      </w:r>
      <w:r w:rsidR="00226BCA" w:rsidRPr="00442DDC">
        <w:t>naami</w:t>
      </w:r>
      <w:r w:rsidRPr="00442DDC">
        <w:t>s</w:t>
      </w:r>
      <w:r w:rsidR="00226BCA" w:rsidRPr="00442DDC">
        <w:t>en toimittajarekisteri</w:t>
      </w:r>
      <w:r w:rsidRPr="00442DDC">
        <w:t>n</w:t>
      </w:r>
      <w:r w:rsidR="00226BCA" w:rsidRPr="00442DDC">
        <w:t xml:space="preserve"> </w:t>
      </w:r>
      <w:r w:rsidR="00B942F0" w:rsidRPr="00BA68AF">
        <w:t xml:space="preserve">sisäisiä kilpailutuksia voidaan tehdä </w:t>
      </w:r>
      <w:r w:rsidRPr="00442DDC">
        <w:t xml:space="preserve">dynaamisen toimittajarekisterin </w:t>
      </w:r>
      <w:r w:rsidR="00B942F0" w:rsidRPr="00BA68AF">
        <w:t xml:space="preserve">perustamisesta lähtien sen keston loppuun saakka. </w:t>
      </w:r>
      <w:r w:rsidR="008B2080" w:rsidRPr="00442DDC">
        <w:t xml:space="preserve">Dynaaminen toimittajarekisteri </w:t>
      </w:r>
      <w:r w:rsidR="00B942F0" w:rsidRPr="00BA68AF">
        <w:t>on vo</w:t>
      </w:r>
      <w:r w:rsidR="002E1E17">
        <w:t>i</w:t>
      </w:r>
      <w:r w:rsidR="00B942F0" w:rsidRPr="00BA68AF">
        <w:t xml:space="preserve">massa neljä (4) vuotta sen perustamisesta lukien, minä aikana </w:t>
      </w:r>
      <w:r w:rsidR="00925180" w:rsidRPr="007061C9">
        <w:t>tehdään</w:t>
      </w:r>
      <w:r w:rsidR="002E1E17" w:rsidRPr="007061C9">
        <w:t xml:space="preserve"> </w:t>
      </w:r>
      <w:r w:rsidR="00B942F0" w:rsidRPr="007061C9">
        <w:t>sisäiset kilpailut</w:t>
      </w:r>
      <w:r w:rsidR="0007402B" w:rsidRPr="007061C9">
        <w:t>ukset</w:t>
      </w:r>
      <w:r w:rsidR="00B942F0" w:rsidRPr="007061C9">
        <w:t>.</w:t>
      </w:r>
    </w:p>
    <w:p w14:paraId="2FAA4B2F" w14:textId="6448B474" w:rsidR="00B942F0" w:rsidRPr="007061C9" w:rsidRDefault="000E2FE0" w:rsidP="00B942F0">
      <w:r w:rsidRPr="007061C9">
        <w:t>Dynaamisen toimittajarekisterin</w:t>
      </w:r>
      <w:r w:rsidR="00B942F0" w:rsidRPr="007061C9">
        <w:t xml:space="preserve"> sisäisen kilpailu</w:t>
      </w:r>
      <w:r w:rsidR="00925180" w:rsidRPr="007061C9">
        <w:t>tukse</w:t>
      </w:r>
      <w:r w:rsidR="00B942F0" w:rsidRPr="007061C9">
        <w:t>n perusteella solmittu sopimus voi olla voimassa enintään kaksi</w:t>
      </w:r>
      <w:r w:rsidR="0036599B" w:rsidRPr="007061C9">
        <w:t xml:space="preserve"> </w:t>
      </w:r>
      <w:r w:rsidR="00B942F0" w:rsidRPr="007061C9">
        <w:t>(2)</w:t>
      </w:r>
      <w:r w:rsidR="0036599B" w:rsidRPr="007061C9">
        <w:t xml:space="preserve"> </w:t>
      </w:r>
      <w:r w:rsidR="00B942F0" w:rsidRPr="007061C9">
        <w:t>vuotta</w:t>
      </w:r>
      <w:r w:rsidR="00FB7DE6" w:rsidRPr="007061C9">
        <w:t xml:space="preserve"> </w:t>
      </w:r>
      <w:r w:rsidR="00B942F0" w:rsidRPr="007061C9">
        <w:t>hankintajärjestelmän</w:t>
      </w:r>
      <w:r w:rsidR="0036599B" w:rsidRPr="007061C9">
        <w:t xml:space="preserve"> </w:t>
      </w:r>
      <w:r w:rsidR="00B942F0" w:rsidRPr="007061C9">
        <w:t>voimassaolon</w:t>
      </w:r>
      <w:r w:rsidR="0036599B" w:rsidRPr="007061C9">
        <w:t xml:space="preserve"> </w:t>
      </w:r>
      <w:r w:rsidR="00B942F0" w:rsidRPr="007061C9">
        <w:t>päättymisen</w:t>
      </w:r>
      <w:r w:rsidR="0036599B" w:rsidRPr="007061C9">
        <w:t xml:space="preserve"> </w:t>
      </w:r>
      <w:r w:rsidR="00B942F0" w:rsidRPr="007061C9">
        <w:t>jälkeen.</w:t>
      </w:r>
      <w:r w:rsidR="001B061D" w:rsidRPr="007061C9">
        <w:t xml:space="preserve"> </w:t>
      </w:r>
      <w:r w:rsidR="00B942F0" w:rsidRPr="007061C9">
        <w:t>Tilaaja</w:t>
      </w:r>
      <w:r w:rsidR="001B061D" w:rsidRPr="007061C9">
        <w:t xml:space="preserve"> </w:t>
      </w:r>
      <w:r w:rsidR="00B942F0" w:rsidRPr="007061C9">
        <w:t>voi</w:t>
      </w:r>
      <w:r w:rsidR="00FB7DE6" w:rsidRPr="007061C9">
        <w:t xml:space="preserve"> </w:t>
      </w:r>
      <w:r w:rsidR="00B942F0" w:rsidRPr="007061C9">
        <w:t xml:space="preserve">jatkaa </w:t>
      </w:r>
      <w:r w:rsidR="00925180" w:rsidRPr="007061C9">
        <w:t>dynaamisen toimittajarekisterin</w:t>
      </w:r>
      <w:r w:rsidR="00B942F0" w:rsidRPr="007061C9">
        <w:t xml:space="preserve"> voimassaoloa uudella hankintailmoituksella.</w:t>
      </w:r>
    </w:p>
    <w:p w14:paraId="33131F45" w14:textId="5F870EF7" w:rsidR="00B942F0" w:rsidRPr="007061C9" w:rsidRDefault="00B942F0" w:rsidP="00B942F0">
      <w:r w:rsidRPr="007061C9">
        <w:t xml:space="preserve">Hankintayksikkö voi sulkea </w:t>
      </w:r>
      <w:r w:rsidR="000E2FE0" w:rsidRPr="007061C9">
        <w:t>dynaamisen toimittajarekisterin</w:t>
      </w:r>
      <w:r w:rsidRPr="007061C9">
        <w:t xml:space="preserve"> tilapäisesti milloin tahansa </w:t>
      </w:r>
      <w:r w:rsidR="00925180" w:rsidRPr="007061C9">
        <w:t>sen</w:t>
      </w:r>
      <w:r w:rsidRPr="007061C9">
        <w:t xml:space="preserve"> keston aikana.</w:t>
      </w:r>
      <w:r w:rsidR="0049323A" w:rsidRPr="007061C9">
        <w:t xml:space="preserve"> Dynaamisen toimittajarekisterin</w:t>
      </w:r>
      <w:r w:rsidRPr="007061C9">
        <w:t xml:space="preserve"> ollessa suljettuna yksittäisiä hankintoja ei voida järjestelmän sisällä tehdä.</w:t>
      </w:r>
    </w:p>
    <w:p w14:paraId="41AA6ED4" w14:textId="576BFBEC" w:rsidR="00B942F0" w:rsidRDefault="00B942F0" w:rsidP="00B942F0"/>
    <w:p w14:paraId="3651CA67" w14:textId="70F1AB93" w:rsidR="00B942F0" w:rsidRDefault="0060737C" w:rsidP="00B942F0">
      <w:r>
        <w:t xml:space="preserve">3. </w:t>
      </w:r>
      <w:r w:rsidR="00B942F0">
        <w:t xml:space="preserve">Dynaamisen </w:t>
      </w:r>
      <w:r w:rsidR="004C153E">
        <w:t>toimittajarekisterin</w:t>
      </w:r>
      <w:r w:rsidR="00B942F0">
        <w:t xml:space="preserve"> hankintamenettelyn kulku</w:t>
      </w:r>
    </w:p>
    <w:p w14:paraId="09CFF745" w14:textId="037C6DC3" w:rsidR="00B942F0" w:rsidRPr="00442DDC" w:rsidRDefault="00B942F0" w:rsidP="00D12C69">
      <w:pPr>
        <w:pStyle w:val="Luettelokappale"/>
        <w:numPr>
          <w:ilvl w:val="0"/>
          <w:numId w:val="1"/>
        </w:numPr>
      </w:pPr>
      <w:r w:rsidRPr="00442DDC">
        <w:t>Osallistumisvaihe</w:t>
      </w:r>
      <w:r w:rsidRPr="00442DDC">
        <w:tab/>
        <w:t xml:space="preserve"> </w:t>
      </w:r>
    </w:p>
    <w:p w14:paraId="64FF12E6" w14:textId="79463F42" w:rsidR="00B942F0" w:rsidRPr="00442DDC" w:rsidRDefault="00B942F0" w:rsidP="0011153E">
      <w:pPr>
        <w:pStyle w:val="Luettelokappale"/>
        <w:numPr>
          <w:ilvl w:val="0"/>
          <w:numId w:val="2"/>
        </w:numPr>
      </w:pPr>
      <w:r w:rsidRPr="00442DDC">
        <w:t xml:space="preserve">Hankintayksikö perustaa </w:t>
      </w:r>
      <w:r w:rsidR="0011153E" w:rsidRPr="00442DDC">
        <w:t>dynaamisen toimittajarekisterin</w:t>
      </w:r>
      <w:r w:rsidRPr="00442DDC">
        <w:t xml:space="preserve"> julkaisemalla osallistumispyynnön</w:t>
      </w:r>
    </w:p>
    <w:p w14:paraId="2884EC67" w14:textId="4531FAF0" w:rsidR="00B942F0" w:rsidRPr="00442DDC" w:rsidRDefault="00B942F0" w:rsidP="0011153E">
      <w:pPr>
        <w:pStyle w:val="Luettelokappale"/>
        <w:numPr>
          <w:ilvl w:val="0"/>
          <w:numId w:val="2"/>
        </w:numPr>
      </w:pPr>
      <w:r w:rsidRPr="00442DDC">
        <w:t>Ehdokkaat jättävät osallistumishakemuksia.</w:t>
      </w:r>
    </w:p>
    <w:p w14:paraId="2DE9455B" w14:textId="5511400A" w:rsidR="00B942F0" w:rsidRPr="00442DDC" w:rsidRDefault="00B942F0" w:rsidP="0090551C">
      <w:pPr>
        <w:pStyle w:val="Luettelokappale"/>
        <w:numPr>
          <w:ilvl w:val="0"/>
          <w:numId w:val="2"/>
        </w:numPr>
      </w:pPr>
      <w:r w:rsidRPr="00442DDC">
        <w:t>Hankintayksikkö käsittelee hakemukset ja hyväksyy</w:t>
      </w:r>
      <w:r w:rsidR="00A87387" w:rsidRPr="00442DDC">
        <w:t xml:space="preserve"> </w:t>
      </w:r>
      <w:r w:rsidR="00442DDC" w:rsidRPr="00442DDC">
        <w:t>minimi</w:t>
      </w:r>
      <w:r w:rsidR="0090551C" w:rsidRPr="00442DDC">
        <w:t xml:space="preserve">vaatimukset täyttävät </w:t>
      </w:r>
      <w:r w:rsidRPr="00442DDC">
        <w:t>ehdokkaat</w:t>
      </w:r>
    </w:p>
    <w:p w14:paraId="6118262D" w14:textId="7E1B1807" w:rsidR="00B34B35" w:rsidRPr="00442DDC" w:rsidRDefault="00B34B35" w:rsidP="00B34B35">
      <w:pPr>
        <w:pStyle w:val="Luettelokappale"/>
        <w:numPr>
          <w:ilvl w:val="0"/>
          <w:numId w:val="1"/>
        </w:numPr>
      </w:pPr>
      <w:r w:rsidRPr="00442DDC">
        <w:t xml:space="preserve">Tarjousvaihe </w:t>
      </w:r>
    </w:p>
    <w:p w14:paraId="20D007EB" w14:textId="0BC25301" w:rsidR="00B942F0" w:rsidRDefault="00B942F0" w:rsidP="00B942F0">
      <w:r>
        <w:t>Hankintayksikkö julkaisee</w:t>
      </w:r>
      <w:r w:rsidR="00A87387">
        <w:t xml:space="preserve"> sisäisiä kilpailu</w:t>
      </w:r>
      <w:r w:rsidR="00D33B72">
        <w:t>tuksia koskevia</w:t>
      </w:r>
      <w:r>
        <w:t xml:space="preserve"> tarjouspyyntöjä, joihin tarjouksia </w:t>
      </w:r>
      <w:r w:rsidRPr="00442DDC">
        <w:t xml:space="preserve">voivat jättää </w:t>
      </w:r>
      <w:r w:rsidR="006E3EBE" w:rsidRPr="00442DDC">
        <w:t>dynaamisen toimittajarekisteriin</w:t>
      </w:r>
      <w:r w:rsidRPr="00442DDC">
        <w:t xml:space="preserve"> hyväksytyt </w:t>
      </w:r>
      <w:r>
        <w:t>tarjoajat.</w:t>
      </w:r>
    </w:p>
    <w:p w14:paraId="67CC9145" w14:textId="3D77DAC9" w:rsidR="00B942F0" w:rsidRDefault="00B942F0" w:rsidP="00B942F0">
      <w:r>
        <w:t>Hankintayksikkö valitsee</w:t>
      </w:r>
      <w:r w:rsidR="001E2C49">
        <w:t xml:space="preserve"> sisäisen kilpailutuksen voittaneen tarjouksen/</w:t>
      </w:r>
      <w:r>
        <w:t>tarjoukset</w:t>
      </w:r>
      <w:r w:rsidR="00301DDC">
        <w:t xml:space="preserve"> ja asettaa t</w:t>
      </w:r>
      <w:r w:rsidR="00C7330C">
        <w:t>arjoaja</w:t>
      </w:r>
      <w:r w:rsidR="00301DDC">
        <w:t>t kattohintakertoimen mukaiseen etusijajärjestykseen (ranking).</w:t>
      </w:r>
    </w:p>
    <w:p w14:paraId="4B3E0DB5" w14:textId="5EEA09F2" w:rsidR="00B942F0" w:rsidRDefault="00B942F0" w:rsidP="00B942F0">
      <w:r>
        <w:lastRenderedPageBreak/>
        <w:t>Hankintayksikkö tekee sopimukset</w:t>
      </w:r>
      <w:r w:rsidR="00593DAD">
        <w:t xml:space="preserve"> sisäisessä kilpailutuksessa</w:t>
      </w:r>
      <w:r>
        <w:t xml:space="preserve"> valittujen </w:t>
      </w:r>
      <w:r w:rsidR="00825B71">
        <w:t>toimittajien</w:t>
      </w:r>
      <w:r>
        <w:t xml:space="preserve"> kanssa.</w:t>
      </w:r>
    </w:p>
    <w:p w14:paraId="5327EC08" w14:textId="4D89E2B4" w:rsidR="00B942F0" w:rsidRDefault="001E2C49" w:rsidP="00B942F0">
      <w:r>
        <w:t>Yritykset</w:t>
      </w:r>
      <w:r w:rsidR="00B942F0">
        <w:t xml:space="preserve"> voivat jättää osallistumishakemuksia koko hankintajärjestelmän keston ajan</w:t>
      </w:r>
      <w:r w:rsidR="00496C62">
        <w:t>.</w:t>
      </w:r>
    </w:p>
    <w:p w14:paraId="3D96E0B9" w14:textId="77777777" w:rsidR="00B942F0" w:rsidRDefault="00B942F0" w:rsidP="00B942F0"/>
    <w:p w14:paraId="6037EFAC" w14:textId="5056BDBC" w:rsidR="00B942F0" w:rsidRDefault="0060737C" w:rsidP="0060737C">
      <w:pPr>
        <w:pStyle w:val="Otsikko2"/>
      </w:pPr>
      <w:bookmarkStart w:id="2" w:name="_Toc227227141"/>
      <w:r>
        <w:t>3.1</w:t>
      </w:r>
      <w:r w:rsidR="00B942F0">
        <w:tab/>
        <w:t>Osallistumisvaihe</w:t>
      </w:r>
      <w:bookmarkEnd w:id="2"/>
    </w:p>
    <w:p w14:paraId="5CF28AD9" w14:textId="3DCAFF96" w:rsidR="00B942F0" w:rsidRDefault="00B942F0" w:rsidP="00B942F0">
      <w:r>
        <w:t xml:space="preserve">Hankintayksikkö julkaisee hankinnan kohteena olevista palveluista osallistumispyynnön, joka on nähtävissä osoitteessa hankintailmoitukset.fi. Osallistumispyyntö on voimassa </w:t>
      </w:r>
      <w:r w:rsidR="002E7D5B">
        <w:t>dynaamisen toimittajarekisterin</w:t>
      </w:r>
      <w:r>
        <w:t xml:space="preserve"> keston ajan</w:t>
      </w:r>
      <w:r w:rsidR="00595386">
        <w:t xml:space="preserve"> </w:t>
      </w:r>
      <w:r w:rsidR="00595386" w:rsidRPr="001145DC">
        <w:t>sähköisessä palvelussa, kuten</w:t>
      </w:r>
      <w:r w:rsidRPr="001145DC">
        <w:t xml:space="preserve"> </w:t>
      </w:r>
      <w:r w:rsidRPr="003B2E79">
        <w:t>Tarjouspalvelu</w:t>
      </w:r>
      <w:r>
        <w:t>.fi-portaalissa.</w:t>
      </w:r>
    </w:p>
    <w:p w14:paraId="5FC5A037" w14:textId="2FBC026C" w:rsidR="00B942F0" w:rsidRDefault="002E7D5B" w:rsidP="00B942F0">
      <w:r>
        <w:t>Yritykset</w:t>
      </w:r>
      <w:r w:rsidR="00B942F0">
        <w:t xml:space="preserve"> voivat hakeutua </w:t>
      </w:r>
      <w:r w:rsidR="00B942F0" w:rsidRPr="003B2E79">
        <w:t xml:space="preserve">ehdokkaaksi </w:t>
      </w:r>
      <w:r w:rsidR="00A22B60" w:rsidRPr="001145DC">
        <w:t>dynaamisen toimittajarekisteriin</w:t>
      </w:r>
      <w:r w:rsidR="00B942F0" w:rsidRPr="003B2E79">
        <w:t xml:space="preserve"> osallistumispyynnössä ilmoitetun järjestelmän keston </w:t>
      </w:r>
      <w:r w:rsidR="00B942F0">
        <w:t>ajan jättämällä osallistumishakemuksen. Osallistumishakemus jätetään ehdokaskohtaisesti. Mikäli toimijalla on esimerkiksi useita konsernin sisäisiä yhtiöitä, tulee jokaisen yhtiön (y-tunnuksen) lähettää oma osallistumishakemuksensa.</w:t>
      </w:r>
    </w:p>
    <w:p w14:paraId="23560A98" w14:textId="0BF1CB38" w:rsidR="00852DAE" w:rsidRDefault="00B942F0" w:rsidP="00B942F0">
      <w:r w:rsidRPr="001145DC">
        <w:t>Osallistumispyynnössä asetetaan</w:t>
      </w:r>
      <w:r w:rsidR="001145DC" w:rsidRPr="001145DC">
        <w:t xml:space="preserve"> </w:t>
      </w:r>
      <w:r w:rsidR="005574CE" w:rsidRPr="001145DC">
        <w:t xml:space="preserve">yrityksen </w:t>
      </w:r>
      <w:r w:rsidRPr="001145DC">
        <w:t>soveltuvuu</w:t>
      </w:r>
      <w:r w:rsidR="00702719" w:rsidRPr="001145DC">
        <w:t>tta</w:t>
      </w:r>
      <w:r w:rsidR="00850214" w:rsidRPr="001145DC">
        <w:t xml:space="preserve"> </w:t>
      </w:r>
      <w:r w:rsidRPr="001145DC">
        <w:t>ja</w:t>
      </w:r>
      <w:r w:rsidR="00850214" w:rsidRPr="001145DC">
        <w:t xml:space="preserve"> vuokratyö</w:t>
      </w:r>
      <w:r w:rsidR="0090569D" w:rsidRPr="001145DC">
        <w:t>n tarjoamista</w:t>
      </w:r>
      <w:r w:rsidR="00850214" w:rsidRPr="001145DC">
        <w:t xml:space="preserve"> koskev</w:t>
      </w:r>
      <w:r w:rsidR="00491960" w:rsidRPr="001145DC">
        <w:t>at</w:t>
      </w:r>
      <w:r w:rsidRPr="001145DC">
        <w:t xml:space="preserve"> vaatimuks</w:t>
      </w:r>
      <w:r w:rsidR="00491960" w:rsidRPr="001145DC">
        <w:t>et</w:t>
      </w:r>
      <w:r w:rsidRPr="001145DC">
        <w:t>.</w:t>
      </w:r>
      <w:r w:rsidR="00491960" w:rsidRPr="001145DC">
        <w:t xml:space="preserve"> </w:t>
      </w:r>
      <w:proofErr w:type="gramStart"/>
      <w:r w:rsidR="00491960" w:rsidRPr="001145DC">
        <w:t>( =</w:t>
      </w:r>
      <w:proofErr w:type="gramEnd"/>
      <w:r w:rsidR="00491960" w:rsidRPr="001145DC">
        <w:t xml:space="preserve"> valtakunnalliset minimivaatimukset)</w:t>
      </w:r>
    </w:p>
    <w:p w14:paraId="7F20DE3B" w14:textId="77777777" w:rsidR="00AB78EF" w:rsidRPr="001145DC" w:rsidRDefault="00AB78EF" w:rsidP="00B942F0"/>
    <w:p w14:paraId="0E05B3E5" w14:textId="5D40D645" w:rsidR="00B942F0" w:rsidRDefault="00852DAE" w:rsidP="00852DAE">
      <w:pPr>
        <w:pStyle w:val="Otsikko2"/>
      </w:pPr>
      <w:bookmarkStart w:id="3" w:name="_Toc227227142"/>
      <w:r>
        <w:t xml:space="preserve">3.2 </w:t>
      </w:r>
      <w:r>
        <w:tab/>
      </w:r>
      <w:r w:rsidR="00B942F0">
        <w:t xml:space="preserve">Osallistumishakemus ja </w:t>
      </w:r>
      <w:r w:rsidR="005B0E3C">
        <w:t>ehdokkaan</w:t>
      </w:r>
      <w:r w:rsidR="00B942F0">
        <w:t xml:space="preserve"> hyväksyminen </w:t>
      </w:r>
      <w:r w:rsidR="005B0E3C">
        <w:t>dynaamiseen toimittajarekisteriin</w:t>
      </w:r>
      <w:bookmarkEnd w:id="3"/>
    </w:p>
    <w:p w14:paraId="0BD30454" w14:textId="77777777" w:rsidR="00B942F0" w:rsidRDefault="00B942F0" w:rsidP="00B942F0"/>
    <w:p w14:paraId="3959BD78" w14:textId="0B166E3E" w:rsidR="00B942F0" w:rsidRDefault="00B942F0" w:rsidP="00B942F0">
      <w:r w:rsidRPr="005243BD">
        <w:t xml:space="preserve">Hankintayksikkö tarkistaa osallistumishakemuksen lähettäneiden ehdokkaiden </w:t>
      </w:r>
      <w:r w:rsidR="005B0E3C" w:rsidRPr="005243BD">
        <w:t>osalta</w:t>
      </w:r>
      <w:r w:rsidR="001A16A8" w:rsidRPr="005243BD">
        <w:t xml:space="preserve"> </w:t>
      </w:r>
      <w:r w:rsidR="00C07FC3" w:rsidRPr="005243BD">
        <w:t>minimi</w:t>
      </w:r>
      <w:r w:rsidR="00C0750E" w:rsidRPr="005243BD">
        <w:t>vaatimuste</w:t>
      </w:r>
      <w:r w:rsidRPr="005243BD">
        <w:t xml:space="preserve">n täyttymisen </w:t>
      </w:r>
      <w:r>
        <w:t>osallistumispyynnössä kuvatussa laajuudessa.</w:t>
      </w:r>
    </w:p>
    <w:p w14:paraId="42C66BDA" w14:textId="0606B948" w:rsidR="00B942F0" w:rsidRDefault="00B942F0" w:rsidP="00B942F0">
      <w:r>
        <w:t xml:space="preserve">Tilaaja käsittelee uudet osallistumishakemukset </w:t>
      </w:r>
      <w:commentRangeStart w:id="4"/>
      <w:r w:rsidR="00940B3C">
        <w:rPr>
          <w:color w:val="C00000"/>
        </w:rPr>
        <w:t>kerran vuodessa, aina maaliskuun aikana</w:t>
      </w:r>
      <w:commentRangeEnd w:id="4"/>
      <w:r w:rsidR="0001577B">
        <w:rPr>
          <w:rStyle w:val="Kommentinviite"/>
          <w:sz w:val="24"/>
          <w:szCs w:val="24"/>
        </w:rPr>
        <w:commentReference w:id="4"/>
      </w:r>
      <w:r>
        <w:t xml:space="preserve">. </w:t>
      </w:r>
    </w:p>
    <w:p w14:paraId="5B710B33" w14:textId="0B3479D0" w:rsidR="00B942F0" w:rsidRDefault="00B942F0" w:rsidP="00B942F0">
      <w:r>
        <w:t xml:space="preserve">Kaikki </w:t>
      </w:r>
      <w:r w:rsidRPr="005243BD">
        <w:t xml:space="preserve">asetetut </w:t>
      </w:r>
      <w:r w:rsidR="00C07FC3" w:rsidRPr="005243BD">
        <w:t>minimi</w:t>
      </w:r>
      <w:r w:rsidR="00B119CC" w:rsidRPr="005243BD">
        <w:t>vaatimukset</w:t>
      </w:r>
      <w:r w:rsidRPr="005243BD">
        <w:t xml:space="preserve"> täyttävät ehdokkaat hyväksytään mukaan</w:t>
      </w:r>
      <w:r w:rsidR="00326411" w:rsidRPr="005243BD">
        <w:t xml:space="preserve"> dynaamiseen toimittajarekisteriin.</w:t>
      </w:r>
      <w:r w:rsidRPr="005243BD">
        <w:t xml:space="preserve"> Mikäli kaikki </w:t>
      </w:r>
      <w:r w:rsidR="006C661C" w:rsidRPr="005243BD">
        <w:t>minimi</w:t>
      </w:r>
      <w:r w:rsidRPr="005243BD">
        <w:t>vaatimukset eivät täyty, hankintayksikkö hylkää ehdokkaan osallistumishakemuksen</w:t>
      </w:r>
      <w:r w:rsidRPr="00EE45F5">
        <w:t xml:space="preserve">. Päätös ehdokkaan hyväksymisestä tai hylkäämisestä </w:t>
      </w:r>
      <w:r w:rsidR="00CB3ACF" w:rsidRPr="00EE45F5">
        <w:t>dynaamiseen toimittajarekisteriin</w:t>
      </w:r>
      <w:r w:rsidRPr="00EE45F5">
        <w:t xml:space="preserve"> annetaan tiedoksi perusteluineen osallistumishakemuksen jättäneelle ehdokkaalle. </w:t>
      </w:r>
      <w:r w:rsidR="007645C4" w:rsidRPr="001145DC">
        <w:t>Dynaamiseen toimittajarekisteriin</w:t>
      </w:r>
      <w:r w:rsidR="007645C4" w:rsidRPr="00EE45F5">
        <w:t xml:space="preserve"> </w:t>
      </w:r>
      <w:r w:rsidRPr="00EE45F5">
        <w:t>hyväksyminen ei sido tarjoajaa jättämään tarjousta</w:t>
      </w:r>
      <w:r w:rsidR="007D2423" w:rsidRPr="00EE45F5">
        <w:t xml:space="preserve"> sisäisissä kilpailutuksissa</w:t>
      </w:r>
      <w:r w:rsidRPr="00EE45F5">
        <w:t>. Ainoastaan</w:t>
      </w:r>
      <w:r w:rsidR="007D2423" w:rsidRPr="00EE45F5">
        <w:t xml:space="preserve"> dynaamiseen toimittaja</w:t>
      </w:r>
      <w:r w:rsidR="00D62F3F" w:rsidRPr="00EE45F5">
        <w:t>rekisteriin</w:t>
      </w:r>
      <w:r w:rsidRPr="00EE45F5">
        <w:t xml:space="preserve"> hyväksytty tarjoaja voi jättää tarjouksen</w:t>
      </w:r>
      <w:r w:rsidR="007D2423" w:rsidRPr="00EE45F5">
        <w:t xml:space="preserve"> sisäisessä kilpailutuksessa</w:t>
      </w:r>
      <w:r w:rsidRPr="00EE45F5">
        <w:t xml:space="preserve"> julkaistuun tarjouspyyntöön.</w:t>
      </w:r>
    </w:p>
    <w:p w14:paraId="1AC77D85" w14:textId="25E73B99" w:rsidR="00B942F0" w:rsidRPr="00AA2F62" w:rsidRDefault="009022C9" w:rsidP="00B942F0">
      <w:pPr>
        <w:rPr>
          <w:color w:val="4EA72E" w:themeColor="accent6"/>
        </w:rPr>
      </w:pPr>
      <w:r>
        <w:t>Toimittaja</w:t>
      </w:r>
      <w:r w:rsidR="00B942F0">
        <w:t xml:space="preserve"> voi koska tahansa vetää </w:t>
      </w:r>
      <w:r w:rsidR="00B942F0" w:rsidRPr="00C7235A">
        <w:t xml:space="preserve">osallistumishakemuksensa pois </w:t>
      </w:r>
      <w:r w:rsidR="00D62F3F" w:rsidRPr="001145DC">
        <w:t>dynaamisesta toimittajarekisteristä</w:t>
      </w:r>
      <w:r w:rsidR="00B942F0" w:rsidRPr="001145DC">
        <w:t>.</w:t>
      </w:r>
      <w:r w:rsidR="00B942F0" w:rsidRPr="00C7235A">
        <w:t xml:space="preserve"> Mikäli </w:t>
      </w:r>
      <w:r w:rsidRPr="00C7235A">
        <w:t>toimittaja</w:t>
      </w:r>
      <w:r w:rsidR="00B942F0" w:rsidRPr="00C7235A">
        <w:t xml:space="preserve"> on jo hyväksytty </w:t>
      </w:r>
      <w:r w:rsidR="00811B40" w:rsidRPr="001145DC">
        <w:t>dynaamiseen toimittajarekisteriin</w:t>
      </w:r>
      <w:r w:rsidR="00B942F0" w:rsidRPr="001145DC">
        <w:t xml:space="preserve">, </w:t>
      </w:r>
      <w:r w:rsidR="00B942F0" w:rsidRPr="00D106BB">
        <w:t xml:space="preserve">menettelystä poistumista on pyydettävä tilaajalta poistumispyynnöllä. Poistumispyynnön voi </w:t>
      </w:r>
      <w:r w:rsidR="00B942F0" w:rsidRPr="00D106BB">
        <w:lastRenderedPageBreak/>
        <w:t xml:space="preserve">tehdä </w:t>
      </w:r>
      <w:r w:rsidR="00AA2F62" w:rsidRPr="00D106BB">
        <w:t xml:space="preserve">esim. </w:t>
      </w:r>
      <w:r w:rsidR="00B942F0" w:rsidRPr="00D106BB">
        <w:t>Tarjouspalvelu.fi- toimittajaportaalissa "Poistumispyyntö ja poistamispäätös" -välilehdellä.</w:t>
      </w:r>
    </w:p>
    <w:p w14:paraId="5FB33575" w14:textId="36BAE7CA" w:rsidR="00B942F0" w:rsidRPr="00281DBD" w:rsidRDefault="00B942F0" w:rsidP="00B942F0">
      <w:r>
        <w:t xml:space="preserve">Mikäli </w:t>
      </w:r>
      <w:r w:rsidR="00AE3482" w:rsidRPr="001145DC">
        <w:t>dynaamiseen toimittajarekisteriin</w:t>
      </w:r>
      <w:r w:rsidRPr="00281DBD">
        <w:t xml:space="preserve"> hyväksytty </w:t>
      </w:r>
      <w:r w:rsidR="003265B7" w:rsidRPr="00281DBD">
        <w:t>toimittaja</w:t>
      </w:r>
      <w:r w:rsidRPr="00281DBD">
        <w:t xml:space="preserve"> peruuttaa osallistumisensa, on kaikki sovitut velvoitteet hoidettava asianmukaisesti loppuun asti. </w:t>
      </w:r>
      <w:r w:rsidR="003265B7" w:rsidRPr="00281DBD">
        <w:t>Dynaamisesta toimittajarekisteristä</w:t>
      </w:r>
      <w:r w:rsidRPr="00281DBD">
        <w:t xml:space="preserve"> poistuminen ei vaikuta voimassa oleviin, </w:t>
      </w:r>
      <w:r w:rsidR="000D41EA" w:rsidRPr="00281DBD">
        <w:t>toimittajan</w:t>
      </w:r>
      <w:r w:rsidRPr="00281DBD">
        <w:t xml:space="preserve"> kanssa tehtyihin hankinta- ja vuokraussopimuksiin, vaan niiden irtisanominen on tehtävä ko. sopimusten ehtojen mukaisesti erikseen.</w:t>
      </w:r>
    </w:p>
    <w:p w14:paraId="7916BEEA" w14:textId="2E1164FA" w:rsidR="00B942F0" w:rsidRDefault="00B942F0" w:rsidP="00B942F0">
      <w:r w:rsidRPr="00281DBD">
        <w:t xml:space="preserve">Mikäli </w:t>
      </w:r>
      <w:r w:rsidR="000D41EA" w:rsidRPr="00281DBD">
        <w:t>toimittaja</w:t>
      </w:r>
      <w:r w:rsidRPr="00281DBD">
        <w:t xml:space="preserve"> on vetänyt osallistumishakemuksensa pois, voi </w:t>
      </w:r>
      <w:r w:rsidR="000D41EA" w:rsidRPr="00281DBD">
        <w:t>toimittaja</w:t>
      </w:r>
      <w:r w:rsidRPr="00281DBD">
        <w:t xml:space="preserve"> koska tahansa tehdä uuden hakemuksen ja liittyä</w:t>
      </w:r>
      <w:r w:rsidR="00AE3482" w:rsidRPr="001145DC">
        <w:t xml:space="preserve"> dynaamiseen toimittajarekisteriin</w:t>
      </w:r>
      <w:r w:rsidRPr="00281DBD">
        <w:t xml:space="preserve"> uudelleen. Uudelleen jätetty </w:t>
      </w:r>
      <w:r w:rsidR="000D41EA" w:rsidRPr="00281DBD">
        <w:t>osallistumis</w:t>
      </w:r>
      <w:r w:rsidRPr="00281DBD">
        <w:t xml:space="preserve">hakemus käsitellään omana uutena </w:t>
      </w:r>
      <w:r w:rsidR="000D41EA" w:rsidRPr="00281DBD">
        <w:t>osallistumis</w:t>
      </w:r>
      <w:r w:rsidRPr="00281DBD">
        <w:t>hakemuksena</w:t>
      </w:r>
      <w:r>
        <w:t>, eikä sitä rinnasteta esimerkiksi rinnakkaishakemukseksi.</w:t>
      </w:r>
    </w:p>
    <w:p w14:paraId="4171699C" w14:textId="77777777" w:rsidR="00053E39" w:rsidRDefault="00053E39" w:rsidP="00B942F0"/>
    <w:p w14:paraId="78A7090C" w14:textId="6791E518" w:rsidR="00B942F0" w:rsidRDefault="0060737C" w:rsidP="0060737C">
      <w:pPr>
        <w:pStyle w:val="Otsikko2"/>
      </w:pPr>
      <w:bookmarkStart w:id="5" w:name="_Toc227227143"/>
      <w:r>
        <w:t>3.</w:t>
      </w:r>
      <w:r w:rsidR="00D50705">
        <w:t>3</w:t>
      </w:r>
      <w:r w:rsidR="00B942F0">
        <w:tab/>
        <w:t>Tarjousvaihe</w:t>
      </w:r>
      <w:bookmarkEnd w:id="5"/>
    </w:p>
    <w:p w14:paraId="3B12FCE2" w14:textId="6C5B9034" w:rsidR="00B942F0" w:rsidRDefault="00B942F0" w:rsidP="00B942F0">
      <w:r>
        <w:t xml:space="preserve">Hankintayksikkö julkaisee tarjouspyyntöjä </w:t>
      </w:r>
      <w:r w:rsidR="00171589" w:rsidRPr="001145DC">
        <w:t>dynaamisessa toimittajarekiserissä</w:t>
      </w:r>
      <w:r w:rsidRPr="001145DC">
        <w:t xml:space="preserve"> </w:t>
      </w:r>
      <w:r w:rsidR="00DC4C1D" w:rsidRPr="00756E82">
        <w:t>sen</w:t>
      </w:r>
      <w:r w:rsidRPr="00756E82">
        <w:t xml:space="preserve"> tarpeisiin perustuen. Hankintayksikkö pyrkii ilmoittamaan kirjallisesti </w:t>
      </w:r>
      <w:r w:rsidR="002D2DD2" w:rsidRPr="001145DC">
        <w:t>dynaamiseen toimittajarekisteriin</w:t>
      </w:r>
      <w:r w:rsidRPr="001145DC">
        <w:t xml:space="preserve"> </w:t>
      </w:r>
      <w:r w:rsidRPr="00756E82">
        <w:t xml:space="preserve">valituille tarjoajille uuden </w:t>
      </w:r>
      <w:r w:rsidR="00DC4C1D" w:rsidRPr="00756E82">
        <w:t xml:space="preserve">sisäisen </w:t>
      </w:r>
      <w:r w:rsidRPr="00756E82">
        <w:t xml:space="preserve">kilpailutuksen valmistelun käynnistymisestä </w:t>
      </w:r>
      <w:r>
        <w:t>ja tulevan</w:t>
      </w:r>
      <w:r w:rsidR="00DC4C1D">
        <w:t xml:space="preserve"> sisäisen</w:t>
      </w:r>
      <w:r>
        <w:t xml:space="preserve"> kilpailutuksen alustavasta aikataulusta.</w:t>
      </w:r>
    </w:p>
    <w:p w14:paraId="627C36C0" w14:textId="7731E485" w:rsidR="00B942F0" w:rsidRDefault="00B942F0" w:rsidP="00B942F0">
      <w:r>
        <w:t>Sisäisten</w:t>
      </w:r>
      <w:r w:rsidR="00DC4C1D">
        <w:t xml:space="preserve"> kilpailutusten</w:t>
      </w:r>
      <w:r>
        <w:t xml:space="preserve"> tarjouspyyntöjen kohteena voi olla esimerkiksi:</w:t>
      </w:r>
    </w:p>
    <w:p w14:paraId="0729AC83" w14:textId="069154A8" w:rsidR="00B942F0" w:rsidRDefault="00B942F0" w:rsidP="00652D5D">
      <w:pPr>
        <w:ind w:left="1300" w:hanging="1300"/>
      </w:pPr>
      <w:r>
        <w:t>•</w:t>
      </w:r>
      <w:r w:rsidR="00652D5D">
        <w:t xml:space="preserve"> </w:t>
      </w:r>
      <w:r w:rsidR="00652D5D">
        <w:tab/>
      </w:r>
      <w:r>
        <w:t>toimipistekohtainen kilpailutus: Täsmällinen työvoiman tarve. Työvoimaa tarvitseva toimipiste kilpailuttaa henkilöstöä määräajaksi.</w:t>
      </w:r>
    </w:p>
    <w:p w14:paraId="77D2FC9E" w14:textId="77777777" w:rsidR="0063135F" w:rsidRDefault="0063135F" w:rsidP="00B942F0"/>
    <w:p w14:paraId="480336FB" w14:textId="387CAEBE" w:rsidR="00B942F0" w:rsidRDefault="00B942F0" w:rsidP="00B942F0">
      <w:r>
        <w:t xml:space="preserve">Tilaaja määrittelee </w:t>
      </w:r>
      <w:r w:rsidRPr="00752F52">
        <w:t xml:space="preserve">kussakin </w:t>
      </w:r>
      <w:r w:rsidR="00154DE9" w:rsidRPr="00752F52">
        <w:t>dynaamisen toimittajarekisterin</w:t>
      </w:r>
      <w:r w:rsidRPr="00752F52">
        <w:t xml:space="preserve"> sisäise</w:t>
      </w:r>
      <w:r w:rsidR="008A1594" w:rsidRPr="00752F52">
        <w:t xml:space="preserve">n </w:t>
      </w:r>
      <w:r w:rsidR="008A1594">
        <w:t>kilpailutuksen</w:t>
      </w:r>
      <w:r>
        <w:t xml:space="preserve"> tarjouspyynnössä</w:t>
      </w:r>
      <w:r w:rsidR="0039153A">
        <w:t xml:space="preserve"> mm. seuraav</w:t>
      </w:r>
      <w:r w:rsidR="0001313D">
        <w:t>ista</w:t>
      </w:r>
      <w:r w:rsidR="0039153A">
        <w:t xml:space="preserve"> as</w:t>
      </w:r>
      <w:r w:rsidR="0001313D">
        <w:t>ioista</w:t>
      </w:r>
      <w:r w:rsidR="0039153A">
        <w:t>:</w:t>
      </w:r>
    </w:p>
    <w:p w14:paraId="3E611A6B" w14:textId="263324C7" w:rsidR="00B942F0" w:rsidRDefault="00B942F0" w:rsidP="00F6456B">
      <w:pPr>
        <w:pStyle w:val="Luettelokappale"/>
        <w:numPr>
          <w:ilvl w:val="1"/>
          <w:numId w:val="2"/>
        </w:numPr>
      </w:pPr>
      <w:r>
        <w:t>tarjouksen jättämisen tarkemmat ohjeet ja määräajan</w:t>
      </w:r>
    </w:p>
    <w:p w14:paraId="2E3F4F8B" w14:textId="7F49DBD9" w:rsidR="00B942F0" w:rsidRDefault="00B942F0" w:rsidP="00F6456B">
      <w:pPr>
        <w:pStyle w:val="Luettelokappale"/>
        <w:numPr>
          <w:ilvl w:val="1"/>
          <w:numId w:val="2"/>
        </w:numPr>
      </w:pPr>
      <w:r>
        <w:t>ammattinimikkeet, joita kyseinen</w:t>
      </w:r>
      <w:r w:rsidR="008A1594">
        <w:t xml:space="preserve"> sisäinen</w:t>
      </w:r>
      <w:r>
        <w:t xml:space="preserve"> </w:t>
      </w:r>
      <w:r w:rsidR="008A1594">
        <w:t>kilpailutus</w:t>
      </w:r>
      <w:r>
        <w:t xml:space="preserve"> koskee</w:t>
      </w:r>
    </w:p>
    <w:p w14:paraId="4DDB44B6" w14:textId="13A941B9" w:rsidR="00B942F0" w:rsidRDefault="00B942F0" w:rsidP="00F6456B">
      <w:pPr>
        <w:pStyle w:val="Luettelokappale"/>
        <w:numPr>
          <w:ilvl w:val="1"/>
          <w:numId w:val="2"/>
        </w:numPr>
      </w:pPr>
      <w:r>
        <w:t xml:space="preserve">hankittavan vuokrahenkilöstön työtehtävien palvelunkuvauksen ja kussakin </w:t>
      </w:r>
      <w:r w:rsidR="000445C5">
        <w:t xml:space="preserve">sisäisessä </w:t>
      </w:r>
      <w:r>
        <w:t xml:space="preserve">kilpailutuksessa hankittavaa vuokrahenkilöstöä koskevat </w:t>
      </w:r>
      <w:r w:rsidR="00570AEE">
        <w:t xml:space="preserve">minivaatimukset ylittävät </w:t>
      </w:r>
      <w:r>
        <w:t xml:space="preserve">vähimmäisvaatimukset </w:t>
      </w:r>
    </w:p>
    <w:p w14:paraId="4B23FB5A" w14:textId="77777777" w:rsidR="00F6456B" w:rsidRDefault="00B942F0" w:rsidP="00F6456B">
      <w:pPr>
        <w:pStyle w:val="Luettelokappale"/>
        <w:numPr>
          <w:ilvl w:val="1"/>
          <w:numId w:val="2"/>
        </w:numPr>
      </w:pPr>
      <w:r>
        <w:t>valittavien vuokrahenkilöiden ja</w:t>
      </w:r>
      <w:r w:rsidR="00407F5A">
        <w:t>/tai</w:t>
      </w:r>
      <w:r>
        <w:t xml:space="preserve"> </w:t>
      </w:r>
      <w:r w:rsidR="002441A9">
        <w:t>toimittajien</w:t>
      </w:r>
      <w:r>
        <w:t xml:space="preserve"> määrän tai sen määräytymisperusteen</w:t>
      </w:r>
    </w:p>
    <w:p w14:paraId="5C4CEFD2" w14:textId="77777777" w:rsidR="004244A1" w:rsidRDefault="00E06C6B" w:rsidP="00F6456B">
      <w:pPr>
        <w:pStyle w:val="Luettelokappale"/>
        <w:numPr>
          <w:ilvl w:val="1"/>
          <w:numId w:val="2"/>
        </w:numPr>
      </w:pPr>
      <w:r w:rsidRPr="0059125F">
        <w:t>tilauskohtaisesti sovellettavan pohjapalkan</w:t>
      </w:r>
      <w:r w:rsidR="00B942F0">
        <w:t xml:space="preserve"> ja muut hinnoitteluun liittyvät ehd</w:t>
      </w:r>
      <w:r w:rsidR="00EC51AC">
        <w:t>ot</w:t>
      </w:r>
      <w:r w:rsidR="00EC51AC">
        <w:tab/>
      </w:r>
    </w:p>
    <w:p w14:paraId="5F64C951" w14:textId="1EDE96D3" w:rsidR="00770ADE" w:rsidRDefault="00F6456B" w:rsidP="00F6456B">
      <w:pPr>
        <w:pStyle w:val="Luettelokappale"/>
        <w:numPr>
          <w:ilvl w:val="1"/>
          <w:numId w:val="2"/>
        </w:numPr>
      </w:pPr>
      <w:r>
        <w:t>toimittajien välisen etusijajärjestyksen muodostumisen perusteen</w:t>
      </w:r>
    </w:p>
    <w:p w14:paraId="02088FE9" w14:textId="55BA7AC7" w:rsidR="00EC51AC" w:rsidRDefault="00EC51AC" w:rsidP="00F6456B">
      <w:pPr>
        <w:pStyle w:val="Luettelokappale"/>
        <w:numPr>
          <w:ilvl w:val="1"/>
          <w:numId w:val="2"/>
        </w:numPr>
      </w:pPr>
      <w:r>
        <w:t>kokonaistaloudellisen edullisuuden vertailuperusteet ja niiden painoarvot</w:t>
      </w:r>
    </w:p>
    <w:p w14:paraId="7112CD40" w14:textId="7176093E" w:rsidR="00B942F0" w:rsidRDefault="00B942F0" w:rsidP="00F6456B">
      <w:pPr>
        <w:pStyle w:val="Luettelokappale"/>
        <w:numPr>
          <w:ilvl w:val="1"/>
          <w:numId w:val="2"/>
        </w:numPr>
      </w:pPr>
      <w:r>
        <w:t>sopimuskauden, jolle vuokrahenkilöstöä kilpailutetaan</w:t>
      </w:r>
    </w:p>
    <w:p w14:paraId="3550BDC5" w14:textId="7AFE9834" w:rsidR="00EC51AC" w:rsidRDefault="00B942F0" w:rsidP="00F6456B">
      <w:pPr>
        <w:pStyle w:val="Luettelokappale"/>
        <w:numPr>
          <w:ilvl w:val="1"/>
          <w:numId w:val="2"/>
        </w:numPr>
      </w:pPr>
      <w:r>
        <w:lastRenderedPageBreak/>
        <w:t>sopimussakkojen perusteet ja euromäärä</w:t>
      </w:r>
      <w:r w:rsidR="00EC51AC">
        <w:t>t</w:t>
      </w:r>
    </w:p>
    <w:p w14:paraId="66386226" w14:textId="61ADC35D" w:rsidR="00B942F0" w:rsidRDefault="00B942F0" w:rsidP="00F6456B">
      <w:pPr>
        <w:pStyle w:val="Luettelokappale"/>
        <w:numPr>
          <w:ilvl w:val="1"/>
          <w:numId w:val="2"/>
        </w:numPr>
      </w:pPr>
      <w:r>
        <w:t>muut tarpeelliset tarjousmenettelyn ja henkilöstövuokrauksen ehdot</w:t>
      </w:r>
    </w:p>
    <w:p w14:paraId="1C1A317C" w14:textId="77777777" w:rsidR="00B942F0" w:rsidRDefault="00B942F0" w:rsidP="00B942F0"/>
    <w:p w14:paraId="33E9282E" w14:textId="30D98565" w:rsidR="00B942F0" w:rsidRDefault="00B942F0" w:rsidP="00B942F0">
      <w:r>
        <w:t>Tilaaja lähettää tarjouspyynnön</w:t>
      </w:r>
      <w:r w:rsidR="007C7F5B">
        <w:t xml:space="preserve"> kaikille</w:t>
      </w:r>
      <w:r>
        <w:t xml:space="preserve"> </w:t>
      </w:r>
      <w:r w:rsidR="00B57270">
        <w:t>dynaamisen toimittajarekisteri</w:t>
      </w:r>
      <w:r w:rsidR="007C7F5B">
        <w:t>i</w:t>
      </w:r>
      <w:r w:rsidR="00B57270">
        <w:t xml:space="preserve">n </w:t>
      </w:r>
      <w:r>
        <w:t xml:space="preserve">hyväksytyille </w:t>
      </w:r>
      <w:r w:rsidR="007C7F5B">
        <w:t>tarjoajille</w:t>
      </w:r>
      <w:r>
        <w:t>. Sähköinen järjestelmä lähettää automaattisesti viestin julkaistusta tarjouspyynnöstä osallistumishakemukse</w:t>
      </w:r>
      <w:r w:rsidR="00AE3145">
        <w:t>ssa ilmoitettuun</w:t>
      </w:r>
      <w:r>
        <w:t xml:space="preserve"> sähköpostiosoitteeseen ja tätä </w:t>
      </w:r>
      <w:r w:rsidR="00B57270">
        <w:t xml:space="preserve">ominaisuutta </w:t>
      </w:r>
      <w:r>
        <w:t xml:space="preserve">ei pysty </w:t>
      </w:r>
      <w:r w:rsidR="00B57B44">
        <w:t xml:space="preserve">Tarjouspalvelu.fi-portaalissa </w:t>
      </w:r>
      <w:r>
        <w:t>muuttamaan. Tarjoaja voi kuitenkin itse lisätä sähköpostilistalle osoitteita</w:t>
      </w:r>
      <w:r w:rsidR="00B57B44">
        <w:t xml:space="preserve"> em. </w:t>
      </w:r>
      <w:r>
        <w:t xml:space="preserve">portaalissa. </w:t>
      </w:r>
      <w:r w:rsidR="00AE3145">
        <w:t>Dynaamisen toimittajarekisterin</w:t>
      </w:r>
      <w:r>
        <w:t xml:space="preserve"> sisällä julkaistavat tarjouspyynnöt eivät </w:t>
      </w:r>
      <w:r w:rsidR="00BA4C83">
        <w:t>näy</w:t>
      </w:r>
      <w:r>
        <w:t xml:space="preserve"> hankintailmoitukset.fi-sivustolla.</w:t>
      </w:r>
    </w:p>
    <w:p w14:paraId="12B74727" w14:textId="3BE3B70E" w:rsidR="00B942F0" w:rsidRDefault="00B942F0" w:rsidP="00B942F0">
      <w:r>
        <w:t xml:space="preserve">Tarjoajat vastaavat tarjouspyyntöön lähettämällä tarjouksen </w:t>
      </w:r>
      <w:r w:rsidR="00D20F84">
        <w:t xml:space="preserve">sähköisen palvelun, kuten </w:t>
      </w:r>
      <w:r>
        <w:t>Tarjouspalvelu.fi-portaalin kautta tarjouspyynnöllä mainittuun määräaikaan mennessä. Tarjousten jättöaika on aina vähintään 10 työpäivää tarjouspyynnön julkaisusta. Mikäli järjestelmään hyväksytty tarjoaja ei jätä tarjousta, kyseistä tarjoajaa ei huomioida kyseisessä sisäisessä kilpailutuksessa.</w:t>
      </w:r>
    </w:p>
    <w:p w14:paraId="3C4E6489" w14:textId="218107F1" w:rsidR="003217C8" w:rsidRDefault="00B942F0" w:rsidP="00B942F0">
      <w:r>
        <w:t>Määräaikaan mennessä saapuneiden tarjousten vertailu toteutetaan sisäisen kilpailutuksen tarjouspyynnössä kuvatuin vertailuperustein. Hankintayksikkö tekee</w:t>
      </w:r>
      <w:r w:rsidR="004E025C">
        <w:t xml:space="preserve"> vertailun mukaisen</w:t>
      </w:r>
      <w:r>
        <w:t xml:space="preserve"> hankintapäätöksen ja lähettää sen tiedoksi tarjouksen jättäneille tarjoajille.</w:t>
      </w:r>
    </w:p>
    <w:p w14:paraId="7671243B" w14:textId="77777777" w:rsidR="00B942F0" w:rsidRDefault="00B942F0" w:rsidP="00B942F0"/>
    <w:p w14:paraId="131CB5E4" w14:textId="6BB1D75D" w:rsidR="00B942F0" w:rsidRDefault="00EC2667" w:rsidP="00B6385F">
      <w:pPr>
        <w:pStyle w:val="Otsikko2"/>
      </w:pPr>
      <w:bookmarkStart w:id="6" w:name="_Toc227227144"/>
      <w:r>
        <w:t>3.</w:t>
      </w:r>
      <w:r w:rsidR="00335BD5">
        <w:t>5</w:t>
      </w:r>
      <w:r w:rsidR="00B942F0">
        <w:tab/>
        <w:t>Sopimukset ja niiden voimassaolo</w:t>
      </w:r>
      <w:bookmarkEnd w:id="6"/>
    </w:p>
    <w:p w14:paraId="4F7AB5C8" w14:textId="51FC5194" w:rsidR="00B942F0" w:rsidRDefault="00B942F0" w:rsidP="00B942F0">
      <w:r>
        <w:t>Hankintasopimus laaditaan valittujen tarjoajien kanssa hankintapäätöksen saatua lainvoiman hyödyntäen tarjouspyynnön liitteenä ollutta sopimusluonnosta.</w:t>
      </w:r>
    </w:p>
    <w:p w14:paraId="7EC52213" w14:textId="2E7890BE" w:rsidR="00B942F0" w:rsidRDefault="00B942F0" w:rsidP="00B942F0">
      <w:r>
        <w:t xml:space="preserve">Hankintasopimus allekirjoitetaan mahdollisimman nopeasti hankintapäätöksen saatua lainvoiman. Sopimuskausi ja mahdolliset optiokaudet määritellään tarjouspyyntökohtaisesti. </w:t>
      </w:r>
    </w:p>
    <w:p w14:paraId="2AB3EC20" w14:textId="77777777" w:rsidR="00003368" w:rsidRDefault="00003368" w:rsidP="00B942F0"/>
    <w:p w14:paraId="006EF118" w14:textId="1FA3C13D" w:rsidR="00B942F0" w:rsidRDefault="00243EAE" w:rsidP="00E23862">
      <w:pPr>
        <w:pStyle w:val="Otsikko2"/>
      </w:pPr>
      <w:bookmarkStart w:id="7" w:name="_Toc227227145"/>
      <w:r>
        <w:t>3.</w:t>
      </w:r>
      <w:r w:rsidR="005308D9">
        <w:t>6</w:t>
      </w:r>
      <w:r w:rsidR="00E23862">
        <w:tab/>
      </w:r>
      <w:r w:rsidR="00B942F0">
        <w:t>Muutokset sopimukseen</w:t>
      </w:r>
      <w:bookmarkEnd w:id="7"/>
    </w:p>
    <w:p w14:paraId="3B23D78C" w14:textId="5B76A5C1" w:rsidR="00B942F0" w:rsidRDefault="00B942F0" w:rsidP="00B942F0">
      <w:r>
        <w:t xml:space="preserve">Tilaaja ja </w:t>
      </w:r>
      <w:r w:rsidR="0098028A">
        <w:t>toimittaja</w:t>
      </w:r>
      <w:r>
        <w:t xml:space="preserve"> voivat milloin tahansa yhteisesti sopimalla tehdä</w:t>
      </w:r>
      <w:r w:rsidR="00FD165F">
        <w:t xml:space="preserve"> ennalta määriteltyjä</w:t>
      </w:r>
      <w:r w:rsidR="00D637CD">
        <w:t xml:space="preserve"> muutoksia</w:t>
      </w:r>
      <w:r>
        <w:t xml:space="preserve"> sopimukseen</w:t>
      </w:r>
      <w:r w:rsidR="00624185">
        <w:t xml:space="preserve">, kuten </w:t>
      </w:r>
      <w:r w:rsidR="00113B9D">
        <w:t xml:space="preserve">vuokratyön tekemiseen </w:t>
      </w:r>
      <w:r w:rsidR="001E3D85">
        <w:t xml:space="preserve">hyvinvointialueilla </w:t>
      </w:r>
      <w:r w:rsidR="00113B9D">
        <w:t>liittyvän</w:t>
      </w:r>
      <w:r w:rsidR="00EE48E6">
        <w:t xml:space="preserve"> </w:t>
      </w:r>
      <w:r>
        <w:t xml:space="preserve">lainsäädännön ja viranomaismääräysten edellyttämät </w:t>
      </w:r>
      <w:r w:rsidR="007937C0">
        <w:t xml:space="preserve">ja </w:t>
      </w:r>
      <w:r>
        <w:t>välttämättömät</w:t>
      </w:r>
      <w:r w:rsidR="007937C0">
        <w:t xml:space="preserve"> </w:t>
      </w:r>
      <w:r>
        <w:t>muutokset. Muutokset voivat liittyä esimerkiksi muutoksiin palvelun sisällössä, järjestämistavoissa, rahoituksessa, valvonnassa, lupaehdoissa, henkilöstövaatimuksissa, sopimusperusteisessa varautumisessa tai vastaavissa asiakkaiden oikeuksiin ja turvallisuuteen liittyvissä säännöksissä ja määräyksissä.</w:t>
      </w:r>
    </w:p>
    <w:p w14:paraId="192F610C" w14:textId="73A48486" w:rsidR="0086379B" w:rsidRDefault="00F1291D" w:rsidP="00B942F0">
      <w:commentRangeStart w:id="8"/>
      <w:r>
        <w:t>M</w:t>
      </w:r>
      <w:r w:rsidR="0086379B">
        <w:t>uut sopimusmuutokset</w:t>
      </w:r>
      <w:commentRangeEnd w:id="8"/>
      <w:r w:rsidR="004244A1">
        <w:rPr>
          <w:rStyle w:val="Kommentinviite"/>
        </w:rPr>
        <w:commentReference w:id="8"/>
      </w:r>
    </w:p>
    <w:sectPr w:rsidR="0086379B">
      <w:foot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Autio Eriika" w:date="2026-03-18T10:46:00Z" w:initials="EA">
    <w:p w14:paraId="492CA963" w14:textId="77777777" w:rsidR="0001577B" w:rsidRDefault="0001577B" w:rsidP="0001577B">
      <w:pPr>
        <w:pStyle w:val="CommentText"/>
      </w:pPr>
      <w:r>
        <w:rPr>
          <w:rStyle w:val="CommentReference"/>
        </w:rPr>
        <w:annotationRef/>
      </w:r>
      <w:r>
        <w:t>Suositus. Hankintayksikkö voi hyväksyä ehdokkaita mukaan dynaamiseen toimittajarekisteriin myös useammin kuin kerran vuodessa</w:t>
      </w:r>
    </w:p>
  </w:comment>
  <w:comment w:id="8" w:author="Autio Eriika" w:date="2026-04-16T10:18:00Z" w:initials="EA">
    <w:p w14:paraId="27C44B89" w14:textId="77777777" w:rsidR="004244A1" w:rsidRDefault="004244A1" w:rsidP="004244A1">
      <w:pPr>
        <w:pStyle w:val="Kommentinteksti"/>
      </w:pPr>
      <w:r>
        <w:rPr>
          <w:rStyle w:val="Kommentinviite"/>
        </w:rPr>
        <w:annotationRef/>
      </w:r>
      <w:r>
        <w:t>Ohje: pyri tässä kuvaamaan, millaisia hankintalain (1397/2016) 136 § 2 momentin mukaiset mahdolliset sopimusmuutokset voivat olla - jotta niitä voidaan tarvittaessa tehdä sopimuskaudella.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2CA963" w15:done="0"/>
  <w15:commentEx w15:paraId="27C44B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66DCDA" w16cex:dateUtc="2026-03-18T08:46:00Z"/>
  <w16cex:commentExtensible w16cex:durableId="7A432457" w16cex:dateUtc="2026-04-16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2CA963" w16cid:durableId="1366DCDA"/>
  <w16cid:commentId w16cid:paraId="27C44B89" w16cid:durableId="7A4324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DCB7" w14:textId="77777777" w:rsidR="00C512F2" w:rsidRDefault="00C512F2" w:rsidP="004A203B">
      <w:pPr>
        <w:spacing w:after="0" w:line="240" w:lineRule="auto"/>
      </w:pPr>
      <w:r>
        <w:separator/>
      </w:r>
    </w:p>
  </w:endnote>
  <w:endnote w:type="continuationSeparator" w:id="0">
    <w:p w14:paraId="151E2599" w14:textId="77777777" w:rsidR="00C512F2" w:rsidRDefault="00C512F2" w:rsidP="004A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618025"/>
      <w:docPartObj>
        <w:docPartGallery w:val="Page Numbers (Bottom of Page)"/>
        <w:docPartUnique/>
      </w:docPartObj>
    </w:sdtPr>
    <w:sdtContent>
      <w:p w14:paraId="44FAB5CD" w14:textId="3EB5A2DA" w:rsidR="004A203B" w:rsidRDefault="004A203B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65B75" w14:textId="77777777" w:rsidR="004A203B" w:rsidRDefault="004A203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E9A9" w14:textId="77777777" w:rsidR="00C512F2" w:rsidRDefault="00C512F2" w:rsidP="004A203B">
      <w:pPr>
        <w:spacing w:after="0" w:line="240" w:lineRule="auto"/>
      </w:pPr>
      <w:r>
        <w:separator/>
      </w:r>
    </w:p>
  </w:footnote>
  <w:footnote w:type="continuationSeparator" w:id="0">
    <w:p w14:paraId="1FFF1ED5" w14:textId="77777777" w:rsidR="00C512F2" w:rsidRDefault="00C512F2" w:rsidP="004A2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F19"/>
    <w:multiLevelType w:val="hybridMultilevel"/>
    <w:tmpl w:val="8F02AC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61C4"/>
    <w:multiLevelType w:val="hybridMultilevel"/>
    <w:tmpl w:val="80B632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01BD0"/>
    <w:multiLevelType w:val="hybridMultilevel"/>
    <w:tmpl w:val="87A088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6159B"/>
    <w:multiLevelType w:val="hybridMultilevel"/>
    <w:tmpl w:val="2E968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25547"/>
    <w:multiLevelType w:val="hybridMultilevel"/>
    <w:tmpl w:val="7BAE48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886D8">
      <w:numFmt w:val="bullet"/>
      <w:lvlText w:val="•"/>
      <w:lvlJc w:val="left"/>
      <w:pPr>
        <w:ind w:left="2380" w:hanging="1300"/>
      </w:pPr>
      <w:rPr>
        <w:rFonts w:ascii="Aptos" w:eastAsiaTheme="minorHAnsi" w:hAnsi="Aptos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0251B"/>
    <w:multiLevelType w:val="hybridMultilevel"/>
    <w:tmpl w:val="6B5ADC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628804">
    <w:abstractNumId w:val="1"/>
  </w:num>
  <w:num w:numId="2" w16cid:durableId="76640319">
    <w:abstractNumId w:val="4"/>
  </w:num>
  <w:num w:numId="3" w16cid:durableId="490101816">
    <w:abstractNumId w:val="0"/>
  </w:num>
  <w:num w:numId="4" w16cid:durableId="348801470">
    <w:abstractNumId w:val="2"/>
  </w:num>
  <w:num w:numId="5" w16cid:durableId="164443492">
    <w:abstractNumId w:val="5"/>
  </w:num>
  <w:num w:numId="6" w16cid:durableId="1664103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io Eriika">
    <w15:presenceInfo w15:providerId="AD" w15:userId="S::eriika.autio@hyvil.fi::33bdbd2c-46e1-4d07-ab9d-9acf48b17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F0"/>
    <w:rsid w:val="00003368"/>
    <w:rsid w:val="0001313D"/>
    <w:rsid w:val="0001577B"/>
    <w:rsid w:val="0003286A"/>
    <w:rsid w:val="00035C8B"/>
    <w:rsid w:val="0003788A"/>
    <w:rsid w:val="000445C5"/>
    <w:rsid w:val="00053E39"/>
    <w:rsid w:val="0007402B"/>
    <w:rsid w:val="000811FC"/>
    <w:rsid w:val="00094ECC"/>
    <w:rsid w:val="000D41EA"/>
    <w:rsid w:val="000D7988"/>
    <w:rsid w:val="000E23C6"/>
    <w:rsid w:val="000E2FE0"/>
    <w:rsid w:val="000E5B9F"/>
    <w:rsid w:val="00103FFE"/>
    <w:rsid w:val="001045E5"/>
    <w:rsid w:val="0010465A"/>
    <w:rsid w:val="0010507F"/>
    <w:rsid w:val="0011153E"/>
    <w:rsid w:val="00113B9D"/>
    <w:rsid w:val="001145DC"/>
    <w:rsid w:val="001428F1"/>
    <w:rsid w:val="00154DE9"/>
    <w:rsid w:val="00163EC3"/>
    <w:rsid w:val="00166BA3"/>
    <w:rsid w:val="00167471"/>
    <w:rsid w:val="00171589"/>
    <w:rsid w:val="00172041"/>
    <w:rsid w:val="00192C1D"/>
    <w:rsid w:val="00193630"/>
    <w:rsid w:val="001A16A8"/>
    <w:rsid w:val="001A46A1"/>
    <w:rsid w:val="001B061D"/>
    <w:rsid w:val="001B0B87"/>
    <w:rsid w:val="001B432D"/>
    <w:rsid w:val="001C4ED2"/>
    <w:rsid w:val="001D7508"/>
    <w:rsid w:val="001E2A0C"/>
    <w:rsid w:val="001E2C49"/>
    <w:rsid w:val="001E3D85"/>
    <w:rsid w:val="001E5BC6"/>
    <w:rsid w:val="001F0714"/>
    <w:rsid w:val="001F1092"/>
    <w:rsid w:val="001F6AB0"/>
    <w:rsid w:val="00206E2B"/>
    <w:rsid w:val="00207482"/>
    <w:rsid w:val="002112E2"/>
    <w:rsid w:val="00223AE4"/>
    <w:rsid w:val="00226BCA"/>
    <w:rsid w:val="00243EAE"/>
    <w:rsid w:val="002441A9"/>
    <w:rsid w:val="0024655E"/>
    <w:rsid w:val="00263FC2"/>
    <w:rsid w:val="00267E27"/>
    <w:rsid w:val="002713D2"/>
    <w:rsid w:val="002742C7"/>
    <w:rsid w:val="00281DBD"/>
    <w:rsid w:val="00283540"/>
    <w:rsid w:val="00292959"/>
    <w:rsid w:val="002B0A3D"/>
    <w:rsid w:val="002D2DD2"/>
    <w:rsid w:val="002D4267"/>
    <w:rsid w:val="002D7542"/>
    <w:rsid w:val="002D7B81"/>
    <w:rsid w:val="002E06D7"/>
    <w:rsid w:val="002E1E17"/>
    <w:rsid w:val="002E3256"/>
    <w:rsid w:val="002E7D5B"/>
    <w:rsid w:val="00301DDC"/>
    <w:rsid w:val="00311AAC"/>
    <w:rsid w:val="00314403"/>
    <w:rsid w:val="00315746"/>
    <w:rsid w:val="003174E1"/>
    <w:rsid w:val="003217C8"/>
    <w:rsid w:val="00321F84"/>
    <w:rsid w:val="00326411"/>
    <w:rsid w:val="003265B7"/>
    <w:rsid w:val="00335BD5"/>
    <w:rsid w:val="0034240E"/>
    <w:rsid w:val="003437CD"/>
    <w:rsid w:val="00344CE5"/>
    <w:rsid w:val="0035598E"/>
    <w:rsid w:val="00364C30"/>
    <w:rsid w:val="0036599B"/>
    <w:rsid w:val="00365CC7"/>
    <w:rsid w:val="003718FF"/>
    <w:rsid w:val="003760D2"/>
    <w:rsid w:val="0038311D"/>
    <w:rsid w:val="0039153A"/>
    <w:rsid w:val="003919D4"/>
    <w:rsid w:val="00392208"/>
    <w:rsid w:val="003B1271"/>
    <w:rsid w:val="003B2E79"/>
    <w:rsid w:val="003C2A21"/>
    <w:rsid w:val="003C41E3"/>
    <w:rsid w:val="003C5EE4"/>
    <w:rsid w:val="003E4F2E"/>
    <w:rsid w:val="00407F5A"/>
    <w:rsid w:val="004244A1"/>
    <w:rsid w:val="00427C2C"/>
    <w:rsid w:val="004349EB"/>
    <w:rsid w:val="00440C11"/>
    <w:rsid w:val="00442DDC"/>
    <w:rsid w:val="004501F4"/>
    <w:rsid w:val="00453095"/>
    <w:rsid w:val="0048262F"/>
    <w:rsid w:val="00485E69"/>
    <w:rsid w:val="00491960"/>
    <w:rsid w:val="004927B8"/>
    <w:rsid w:val="0049323A"/>
    <w:rsid w:val="00494CC3"/>
    <w:rsid w:val="00496849"/>
    <w:rsid w:val="00496C62"/>
    <w:rsid w:val="004A0379"/>
    <w:rsid w:val="004A203B"/>
    <w:rsid w:val="004B4CB1"/>
    <w:rsid w:val="004C153E"/>
    <w:rsid w:val="004C1848"/>
    <w:rsid w:val="004C194D"/>
    <w:rsid w:val="004D608A"/>
    <w:rsid w:val="004E025C"/>
    <w:rsid w:val="004F6C7C"/>
    <w:rsid w:val="004F6D8E"/>
    <w:rsid w:val="004F7286"/>
    <w:rsid w:val="00500569"/>
    <w:rsid w:val="00501AFF"/>
    <w:rsid w:val="005045CB"/>
    <w:rsid w:val="00520314"/>
    <w:rsid w:val="005243BD"/>
    <w:rsid w:val="00524561"/>
    <w:rsid w:val="0052466C"/>
    <w:rsid w:val="005308D9"/>
    <w:rsid w:val="00541149"/>
    <w:rsid w:val="00554699"/>
    <w:rsid w:val="005574CE"/>
    <w:rsid w:val="005607C3"/>
    <w:rsid w:val="00570AEE"/>
    <w:rsid w:val="00573839"/>
    <w:rsid w:val="00593DAD"/>
    <w:rsid w:val="00595386"/>
    <w:rsid w:val="005955E6"/>
    <w:rsid w:val="00597420"/>
    <w:rsid w:val="005A74E4"/>
    <w:rsid w:val="005B0E3C"/>
    <w:rsid w:val="005B17CB"/>
    <w:rsid w:val="005D1954"/>
    <w:rsid w:val="005E6DB0"/>
    <w:rsid w:val="005F31A1"/>
    <w:rsid w:val="005F4B04"/>
    <w:rsid w:val="0060737C"/>
    <w:rsid w:val="00612290"/>
    <w:rsid w:val="006218F2"/>
    <w:rsid w:val="00624185"/>
    <w:rsid w:val="006300D5"/>
    <w:rsid w:val="0063135F"/>
    <w:rsid w:val="00631740"/>
    <w:rsid w:val="00631C63"/>
    <w:rsid w:val="00652D5D"/>
    <w:rsid w:val="00662FE3"/>
    <w:rsid w:val="006653ED"/>
    <w:rsid w:val="00685CE7"/>
    <w:rsid w:val="00695308"/>
    <w:rsid w:val="006A3621"/>
    <w:rsid w:val="006A4237"/>
    <w:rsid w:val="006C569C"/>
    <w:rsid w:val="006C661C"/>
    <w:rsid w:val="006E3EBE"/>
    <w:rsid w:val="006E4AC1"/>
    <w:rsid w:val="006E6A18"/>
    <w:rsid w:val="00702719"/>
    <w:rsid w:val="007061C9"/>
    <w:rsid w:val="00716501"/>
    <w:rsid w:val="0073389D"/>
    <w:rsid w:val="00752F52"/>
    <w:rsid w:val="00755C1C"/>
    <w:rsid w:val="00756E82"/>
    <w:rsid w:val="00762A9F"/>
    <w:rsid w:val="007645C4"/>
    <w:rsid w:val="00770ADE"/>
    <w:rsid w:val="00785D6D"/>
    <w:rsid w:val="007937C0"/>
    <w:rsid w:val="007A34E6"/>
    <w:rsid w:val="007A5572"/>
    <w:rsid w:val="007B16D1"/>
    <w:rsid w:val="007B7973"/>
    <w:rsid w:val="007C7F5B"/>
    <w:rsid w:val="007D2423"/>
    <w:rsid w:val="007E3B99"/>
    <w:rsid w:val="007E5602"/>
    <w:rsid w:val="007F2CB4"/>
    <w:rsid w:val="00801922"/>
    <w:rsid w:val="00811B40"/>
    <w:rsid w:val="00820CC2"/>
    <w:rsid w:val="00822494"/>
    <w:rsid w:val="008258E2"/>
    <w:rsid w:val="00825B71"/>
    <w:rsid w:val="00827612"/>
    <w:rsid w:val="00843844"/>
    <w:rsid w:val="00850214"/>
    <w:rsid w:val="00852DAE"/>
    <w:rsid w:val="00856AD3"/>
    <w:rsid w:val="0086379B"/>
    <w:rsid w:val="00863C86"/>
    <w:rsid w:val="0087231F"/>
    <w:rsid w:val="00877D2C"/>
    <w:rsid w:val="00884C14"/>
    <w:rsid w:val="008A0675"/>
    <w:rsid w:val="008A1594"/>
    <w:rsid w:val="008A2700"/>
    <w:rsid w:val="008A322F"/>
    <w:rsid w:val="008A6264"/>
    <w:rsid w:val="008B2080"/>
    <w:rsid w:val="008B4113"/>
    <w:rsid w:val="008D16CC"/>
    <w:rsid w:val="008D3E46"/>
    <w:rsid w:val="008E02FC"/>
    <w:rsid w:val="008E0C27"/>
    <w:rsid w:val="008E355F"/>
    <w:rsid w:val="008F7272"/>
    <w:rsid w:val="008F7F4B"/>
    <w:rsid w:val="00901664"/>
    <w:rsid w:val="009022C9"/>
    <w:rsid w:val="0090551C"/>
    <w:rsid w:val="0090569D"/>
    <w:rsid w:val="00914CA8"/>
    <w:rsid w:val="00925180"/>
    <w:rsid w:val="00930ED8"/>
    <w:rsid w:val="00940B3C"/>
    <w:rsid w:val="009447CE"/>
    <w:rsid w:val="0094779C"/>
    <w:rsid w:val="0095417A"/>
    <w:rsid w:val="00964873"/>
    <w:rsid w:val="009648E2"/>
    <w:rsid w:val="0098028A"/>
    <w:rsid w:val="00993389"/>
    <w:rsid w:val="009A15AE"/>
    <w:rsid w:val="009C2612"/>
    <w:rsid w:val="009D64B1"/>
    <w:rsid w:val="00A0230E"/>
    <w:rsid w:val="00A22B60"/>
    <w:rsid w:val="00A274A0"/>
    <w:rsid w:val="00A3101E"/>
    <w:rsid w:val="00A33894"/>
    <w:rsid w:val="00A42884"/>
    <w:rsid w:val="00A61365"/>
    <w:rsid w:val="00A67DB5"/>
    <w:rsid w:val="00A72C54"/>
    <w:rsid w:val="00A762C4"/>
    <w:rsid w:val="00A87387"/>
    <w:rsid w:val="00AA0360"/>
    <w:rsid w:val="00AA2C7E"/>
    <w:rsid w:val="00AA2F62"/>
    <w:rsid w:val="00AB78EF"/>
    <w:rsid w:val="00AC0E52"/>
    <w:rsid w:val="00AC363E"/>
    <w:rsid w:val="00AC78D0"/>
    <w:rsid w:val="00AE0A5D"/>
    <w:rsid w:val="00AE3145"/>
    <w:rsid w:val="00AE3482"/>
    <w:rsid w:val="00AF7CC6"/>
    <w:rsid w:val="00B010D3"/>
    <w:rsid w:val="00B10F18"/>
    <w:rsid w:val="00B119CC"/>
    <w:rsid w:val="00B20E27"/>
    <w:rsid w:val="00B213E3"/>
    <w:rsid w:val="00B24737"/>
    <w:rsid w:val="00B30DF6"/>
    <w:rsid w:val="00B34B35"/>
    <w:rsid w:val="00B40037"/>
    <w:rsid w:val="00B40C76"/>
    <w:rsid w:val="00B43709"/>
    <w:rsid w:val="00B57270"/>
    <w:rsid w:val="00B57B44"/>
    <w:rsid w:val="00B6385F"/>
    <w:rsid w:val="00B66EF8"/>
    <w:rsid w:val="00B83BFE"/>
    <w:rsid w:val="00B942F0"/>
    <w:rsid w:val="00BA36EA"/>
    <w:rsid w:val="00BA4C83"/>
    <w:rsid w:val="00BA68AF"/>
    <w:rsid w:val="00BB0413"/>
    <w:rsid w:val="00BB38F5"/>
    <w:rsid w:val="00BC21B6"/>
    <w:rsid w:val="00BC26AF"/>
    <w:rsid w:val="00BD44D2"/>
    <w:rsid w:val="00BD524F"/>
    <w:rsid w:val="00BE5998"/>
    <w:rsid w:val="00C044B8"/>
    <w:rsid w:val="00C0750E"/>
    <w:rsid w:val="00C07FC3"/>
    <w:rsid w:val="00C123D1"/>
    <w:rsid w:val="00C43495"/>
    <w:rsid w:val="00C51204"/>
    <w:rsid w:val="00C512F2"/>
    <w:rsid w:val="00C65DFE"/>
    <w:rsid w:val="00C7235A"/>
    <w:rsid w:val="00C7330C"/>
    <w:rsid w:val="00C75F19"/>
    <w:rsid w:val="00CA1462"/>
    <w:rsid w:val="00CB128C"/>
    <w:rsid w:val="00CB14E8"/>
    <w:rsid w:val="00CB2A5B"/>
    <w:rsid w:val="00CB3ACF"/>
    <w:rsid w:val="00CB533A"/>
    <w:rsid w:val="00CC29D5"/>
    <w:rsid w:val="00CE7AE9"/>
    <w:rsid w:val="00D01674"/>
    <w:rsid w:val="00D106BB"/>
    <w:rsid w:val="00D12C69"/>
    <w:rsid w:val="00D20F84"/>
    <w:rsid w:val="00D306D9"/>
    <w:rsid w:val="00D33B72"/>
    <w:rsid w:val="00D35753"/>
    <w:rsid w:val="00D37668"/>
    <w:rsid w:val="00D4349B"/>
    <w:rsid w:val="00D4754D"/>
    <w:rsid w:val="00D50705"/>
    <w:rsid w:val="00D56BCA"/>
    <w:rsid w:val="00D62F3F"/>
    <w:rsid w:val="00D637CD"/>
    <w:rsid w:val="00D64D82"/>
    <w:rsid w:val="00D64DC9"/>
    <w:rsid w:val="00D74805"/>
    <w:rsid w:val="00D81FD4"/>
    <w:rsid w:val="00D917D2"/>
    <w:rsid w:val="00DB0857"/>
    <w:rsid w:val="00DB4295"/>
    <w:rsid w:val="00DC27DB"/>
    <w:rsid w:val="00DC4C1D"/>
    <w:rsid w:val="00DC4DB1"/>
    <w:rsid w:val="00E06C6B"/>
    <w:rsid w:val="00E1140B"/>
    <w:rsid w:val="00E212F2"/>
    <w:rsid w:val="00E23862"/>
    <w:rsid w:val="00E27D2B"/>
    <w:rsid w:val="00E310C1"/>
    <w:rsid w:val="00E42BD2"/>
    <w:rsid w:val="00E4550A"/>
    <w:rsid w:val="00E52593"/>
    <w:rsid w:val="00E54858"/>
    <w:rsid w:val="00E560C3"/>
    <w:rsid w:val="00E75768"/>
    <w:rsid w:val="00E82FE0"/>
    <w:rsid w:val="00EC2667"/>
    <w:rsid w:val="00EC51AC"/>
    <w:rsid w:val="00EC7F25"/>
    <w:rsid w:val="00EE45F5"/>
    <w:rsid w:val="00EE48E6"/>
    <w:rsid w:val="00EE5ACE"/>
    <w:rsid w:val="00F11A59"/>
    <w:rsid w:val="00F12661"/>
    <w:rsid w:val="00F1291D"/>
    <w:rsid w:val="00F152DB"/>
    <w:rsid w:val="00F231E8"/>
    <w:rsid w:val="00F25C58"/>
    <w:rsid w:val="00F31015"/>
    <w:rsid w:val="00F34C6C"/>
    <w:rsid w:val="00F42B6E"/>
    <w:rsid w:val="00F45367"/>
    <w:rsid w:val="00F55449"/>
    <w:rsid w:val="00F55865"/>
    <w:rsid w:val="00F602A0"/>
    <w:rsid w:val="00F61C7F"/>
    <w:rsid w:val="00F6456B"/>
    <w:rsid w:val="00F874AF"/>
    <w:rsid w:val="00FB1CB9"/>
    <w:rsid w:val="00FB7DE6"/>
    <w:rsid w:val="00FC0E85"/>
    <w:rsid w:val="00FC5E30"/>
    <w:rsid w:val="00FD0B5B"/>
    <w:rsid w:val="00FD165F"/>
    <w:rsid w:val="00FF2D00"/>
    <w:rsid w:val="16E4B380"/>
    <w:rsid w:val="6AA624A4"/>
    <w:rsid w:val="777AF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BF2A"/>
  <w15:chartTrackingRefBased/>
  <w15:docId w15:val="{13C2A30D-7D4E-4317-A17A-7D034D46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9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9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9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9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9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94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94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94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94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9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9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B9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942F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942F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942F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942F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942F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942F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94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9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9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9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9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942F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942F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942F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9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942F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942F0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A2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A203B"/>
  </w:style>
  <w:style w:type="paragraph" w:styleId="Alatunniste">
    <w:name w:val="footer"/>
    <w:basedOn w:val="Normaali"/>
    <w:link w:val="AlatunnisteChar"/>
    <w:uiPriority w:val="99"/>
    <w:unhideWhenUsed/>
    <w:rsid w:val="004A2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A203B"/>
  </w:style>
  <w:style w:type="character" w:styleId="Kommentinviite">
    <w:name w:val="annotation reference"/>
    <w:basedOn w:val="Kappaleenoletusfontti"/>
    <w:uiPriority w:val="99"/>
    <w:semiHidden/>
    <w:unhideWhenUsed/>
    <w:rsid w:val="003760D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760D2"/>
    <w:rPr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63EC3"/>
    <w:pPr>
      <w:spacing w:before="240" w:after="0" w:line="259" w:lineRule="auto"/>
      <w:outlineLvl w:val="9"/>
    </w:pPr>
    <w:rPr>
      <w:kern w:val="0"/>
      <w:sz w:val="32"/>
      <w:szCs w:val="32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163EC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63EC3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163EC3"/>
    <w:pPr>
      <w:spacing w:after="100"/>
      <w:ind w:left="480"/>
    </w:pPr>
  </w:style>
  <w:style w:type="character" w:styleId="Hyperlinkki">
    <w:name w:val="Hyperlink"/>
    <w:basedOn w:val="Kappaleenoletusfontti"/>
    <w:uiPriority w:val="99"/>
    <w:unhideWhenUsed/>
    <w:rsid w:val="00163EC3"/>
    <w:rPr>
      <w:color w:val="467886" w:themeColor="hyperlink"/>
      <w:u w:val="single"/>
    </w:rPr>
  </w:style>
  <w:style w:type="paragraph" w:customStyle="1" w:styleId="paragraph">
    <w:name w:val="paragraph"/>
    <w:basedOn w:val="Normaali"/>
    <w:rsid w:val="004C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4C1848"/>
  </w:style>
  <w:style w:type="character" w:customStyle="1" w:styleId="eop">
    <w:name w:val="eop"/>
    <w:basedOn w:val="Kappaleenoletusfontti"/>
    <w:rsid w:val="004C1848"/>
  </w:style>
  <w:style w:type="character" w:customStyle="1" w:styleId="CommentReference">
    <w:name w:val="Comment Reference"/>
    <w:basedOn w:val="Kappaleenoletusfontti"/>
    <w:uiPriority w:val="99"/>
    <w:semiHidden/>
    <w:unhideWhenUsed/>
    <w:rsid w:val="00BC21B6"/>
    <w:rPr>
      <w:sz w:val="16"/>
      <w:szCs w:val="16"/>
    </w:rPr>
  </w:style>
  <w:style w:type="paragraph" w:customStyle="1" w:styleId="CommentText">
    <w:name w:val="Comment Text"/>
    <w:basedOn w:val="Normaali"/>
    <w:link w:val="CommentTextChar"/>
    <w:uiPriority w:val="99"/>
    <w:unhideWhenUsed/>
    <w:rsid w:val="00BC2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Kappaleenoletusfontti"/>
    <w:link w:val="CommentText"/>
    <w:uiPriority w:val="99"/>
    <w:rsid w:val="00BC21B6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BC2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1B6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573839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648E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648E2"/>
    <w:rPr>
      <w:b/>
      <w:bCs/>
      <w:sz w:val="20"/>
      <w:szCs w:val="20"/>
    </w:rPr>
  </w:style>
  <w:style w:type="paragraph" w:customStyle="1" w:styleId="pf0">
    <w:name w:val="pf0"/>
    <w:basedOn w:val="Normaali"/>
    <w:rsid w:val="00A7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cf01">
    <w:name w:val="cf01"/>
    <w:basedOn w:val="Kappaleenoletusfontti"/>
    <w:rsid w:val="00A762C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e0604-5da3-4788-91ec-8906773f4754">
      <Terms xmlns="http://schemas.microsoft.com/office/infopath/2007/PartnerControls"/>
    </lcf76f155ced4ddcb4097134ff3c332f>
    <TaxCatchAll xmlns="e9efc5a7-b585-4606-9533-344059e6b7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C2FE580B540348ADF5A63D0F0FE947" ma:contentTypeVersion="10" ma:contentTypeDescription="Luo uusi asiakirja." ma:contentTypeScope="" ma:versionID="79779c12c55685adf4e09d46d3179b02">
  <xsd:schema xmlns:xsd="http://www.w3.org/2001/XMLSchema" xmlns:xs="http://www.w3.org/2001/XMLSchema" xmlns:p="http://schemas.microsoft.com/office/2006/metadata/properties" xmlns:ns2="d79e0604-5da3-4788-91ec-8906773f4754" xmlns:ns3="e9efc5a7-b585-4606-9533-344059e6b7f6" targetNamespace="http://schemas.microsoft.com/office/2006/metadata/properties" ma:root="true" ma:fieldsID="efab46ac840c2fe31e1e35761074967e" ns2:_="" ns3:_="">
    <xsd:import namespace="d79e0604-5da3-4788-91ec-8906773f4754"/>
    <xsd:import namespace="e9efc5a7-b585-4606-9533-344059e6b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e0604-5da3-4788-91ec-8906773f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fc5a7-b585-4606-9533-344059e6b7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566ad-401b-4b33-8366-2f72e0a0b308}" ma:internalName="TaxCatchAll" ma:showField="CatchAllData" ma:web="e9efc5a7-b585-4606-9533-344059e6b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24637-1511-41EA-8D31-F7CD3160E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409EC-011C-4887-A04A-F98A62A8905D}">
  <ds:schemaRefs>
    <ds:schemaRef ds:uri="http://schemas.microsoft.com/office/2006/metadata/properties"/>
    <ds:schemaRef ds:uri="http://schemas.microsoft.com/office/infopath/2007/PartnerControls"/>
    <ds:schemaRef ds:uri="17bdcbf1-06be-4e47-99af-f51b5fe194d1"/>
    <ds:schemaRef ds:uri="b603d713-742f-49ad-aba1-4ff3f694c8d8"/>
  </ds:schemaRefs>
</ds:datastoreItem>
</file>

<file path=customXml/itemProps3.xml><?xml version="1.0" encoding="utf-8"?>
<ds:datastoreItem xmlns:ds="http://schemas.openxmlformats.org/officeDocument/2006/customXml" ds:itemID="{CDC25CCE-81FD-44C1-A17B-2A182298C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2E64E0-A574-443D-8D0C-0C713AD76130}"/>
</file>

<file path=docMetadata/LabelInfo.xml><?xml version="1.0" encoding="utf-8"?>
<clbl:labelList xmlns:clbl="http://schemas.microsoft.com/office/2020/mipLabelMetadata">
  <clbl:label id="{436e5d61-1ada-438e-901c-5e7398a51c1f}" enabled="0" method="" siteId="{436e5d61-1ada-438e-901c-5e7398a51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1276</Words>
  <Characters>13140</Characters>
  <Application>Microsoft Office Word</Application>
  <DocSecurity>0</DocSecurity>
  <Lines>247</Lines>
  <Paragraphs>96</Paragraphs>
  <ScaleCrop>false</ScaleCrop>
  <Company>Inservio Oy</Company>
  <LinksUpToDate>false</LinksUpToDate>
  <CharactersWithSpaces>14320</CharactersWithSpaces>
  <SharedDoc>false</SharedDoc>
  <HLinks>
    <vt:vector size="72" baseType="variant"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_Toc224911178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_Toc224911177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_Toc224911176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_Toc224911175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_Toc224911174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_Toc224911173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_Toc224911172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_Toc224911171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_Toc224911170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_Toc224911169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_Toc224911168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_Toc224911167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Autio Eriika</dc:creator>
  <cp:keywords/>
  <dc:description/>
  <cp:lastModifiedBy>Autio Eriika</cp:lastModifiedBy>
  <cp:revision>42</cp:revision>
  <dcterms:created xsi:type="dcterms:W3CDTF">2026-04-15T12:54:00Z</dcterms:created>
  <dcterms:modified xsi:type="dcterms:W3CDTF">2026-04-27T07:42:00Z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0x010100FCC2FE580B540348ADF5A63D0F0FE947</vt:lpwstr>
  </property>
  <property fmtid="{D5CDD505-2E9C-101B-9397-08002B2CF9AE}" pid="3" name="MediaServiceImageTags">
    <vt:lpwstr/>
  </property>
</Properties>
</file>